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D34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D34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6655B" w:rsidRPr="006E12CC" w:rsidRDefault="00E6655B" w:rsidP="00E6655B">
      <w:pPr>
        <w:rPr>
          <w:rFonts w:ascii="PT Astra Serif" w:hAnsi="PT Astra Serif" w:cs="PT Astra Serif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732FDF">
        <w:rPr>
          <w:rFonts w:ascii="PT Astra Serif" w:hAnsi="PT Astra Serif"/>
          <w:b/>
          <w:sz w:val="28"/>
          <w:lang w:eastAsia="ru-RU"/>
        </w:rPr>
        <w:t>й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</w:t>
      </w:r>
      <w:r w:rsidR="00121A55">
        <w:rPr>
          <w:rFonts w:ascii="PT Astra Serif" w:hAnsi="PT Astra Serif"/>
          <w:b/>
          <w:sz w:val="28"/>
          <w:lang w:eastAsia="ru-RU"/>
        </w:rPr>
        <w:t>-2024</w:t>
      </w:r>
      <w:r w:rsidR="0079344C">
        <w:rPr>
          <w:rFonts w:ascii="PT Astra Serif" w:hAnsi="PT Astra Serif"/>
          <w:b/>
          <w:sz w:val="28"/>
          <w:lang w:eastAsia="ru-RU"/>
        </w:rPr>
        <w:t xml:space="preserve"> год</w:t>
      </w:r>
      <w:r w:rsidR="00121A55">
        <w:rPr>
          <w:rFonts w:ascii="PT Astra Serif" w:hAnsi="PT Astra Serif"/>
          <w:b/>
          <w:sz w:val="28"/>
          <w:lang w:eastAsia="ru-RU"/>
        </w:rPr>
        <w:t>ах</w:t>
      </w:r>
      <w:bookmarkStart w:id="0" w:name="_GoBack"/>
      <w:bookmarkEnd w:id="0"/>
      <w:r w:rsidR="0079344C">
        <w:rPr>
          <w:rFonts w:ascii="PT Astra Serif" w:hAnsi="PT Astra Serif"/>
          <w:b/>
          <w:sz w:val="28"/>
          <w:lang w:eastAsia="ru-RU"/>
        </w:rPr>
        <w:t xml:space="preserve">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</w:p>
    <w:p w:rsidR="00E6655B" w:rsidRPr="00C16A63" w:rsidRDefault="00E6655B" w:rsidP="00B521A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521A8" w:rsidRPr="00126DB6" w:rsidRDefault="00B521A8" w:rsidP="006E12CC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         от </w:t>
      </w:r>
      <w:r w:rsidR="008B1921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4007FC">
        <w:rPr>
          <w:rFonts w:ascii="PT Astra Serif" w:hAnsi="PT Astra Serif"/>
          <w:color w:val="000000"/>
          <w:sz w:val="28"/>
          <w:szCs w:val="28"/>
        </w:rPr>
        <w:t>№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8B1921"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="003B57B7">
        <w:rPr>
          <w:rFonts w:ascii="PT Astra Serif" w:hAnsi="PT Astra Serif"/>
          <w:color w:val="000000"/>
          <w:sz w:val="28"/>
          <w:szCs w:val="28"/>
        </w:rPr>
        <w:t>«О внесении изменений в решение Собрания представителей Щекинского района от 2 августа 2023 года № 95/629 «Об осуществлении в 2023</w:t>
      </w:r>
      <w:r w:rsidR="008B1921">
        <w:rPr>
          <w:rFonts w:ascii="PT Astra Serif" w:hAnsi="PT Astra Serif"/>
          <w:color w:val="000000"/>
          <w:sz w:val="28"/>
          <w:szCs w:val="28"/>
        </w:rPr>
        <w:t>-2024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8B1921">
        <w:rPr>
          <w:rFonts w:ascii="PT Astra Serif" w:hAnsi="PT Astra Serif"/>
          <w:color w:val="000000"/>
          <w:sz w:val="28"/>
          <w:szCs w:val="28"/>
        </w:rPr>
        <w:t>ах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A6508" w:rsidRDefault="00B521A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510182">
        <w:rPr>
          <w:rFonts w:ascii="PT Astra Serif" w:hAnsi="PT Astra Serif"/>
          <w:color w:val="000000"/>
          <w:sz w:val="28"/>
          <w:szCs w:val="28"/>
        </w:rPr>
        <w:t>-2024</w:t>
      </w:r>
      <w:r w:rsidR="00A15E31">
        <w:rPr>
          <w:rFonts w:ascii="PT Astra Serif" w:hAnsi="PT Astra Serif"/>
          <w:color w:val="000000"/>
          <w:sz w:val="28"/>
          <w:szCs w:val="28"/>
        </w:rPr>
        <w:t>  </w:t>
      </w:r>
      <w:r w:rsidR="00CD68D6">
        <w:rPr>
          <w:rFonts w:ascii="PT Astra Serif" w:hAnsi="PT Astra Serif"/>
          <w:color w:val="000000"/>
          <w:sz w:val="28"/>
          <w:szCs w:val="28"/>
        </w:rPr>
        <w:t>год</w:t>
      </w:r>
      <w:r w:rsidR="00510182">
        <w:rPr>
          <w:rFonts w:ascii="PT Astra Serif" w:hAnsi="PT Astra Serif"/>
          <w:color w:val="000000"/>
          <w:sz w:val="28"/>
          <w:szCs w:val="28"/>
        </w:rPr>
        <w:t>ах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 </w:t>
      </w:r>
      <w:r w:rsidR="00C16A63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BA6508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BA6508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1.1. Наименование постановления изложить в </w:t>
      </w:r>
      <w:r w:rsidR="00C16A63">
        <w:rPr>
          <w:rFonts w:ascii="PT Astra Serif" w:hAnsi="PT Astra Serif"/>
          <w:color w:val="000000"/>
          <w:sz w:val="28"/>
          <w:szCs w:val="28"/>
        </w:rPr>
        <w:t>следующей</w:t>
      </w:r>
      <w:r>
        <w:rPr>
          <w:rFonts w:ascii="PT Astra Serif" w:hAnsi="PT Astra Serif"/>
          <w:color w:val="000000"/>
          <w:sz w:val="28"/>
          <w:szCs w:val="28"/>
        </w:rPr>
        <w:t xml:space="preserve"> редакции: </w:t>
      </w:r>
    </w:p>
    <w:p w:rsidR="00BA6508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«Об утверждении порядка предоставления в 2023-202</w:t>
      </w:r>
      <w:r w:rsidR="00510182">
        <w:rPr>
          <w:rFonts w:ascii="PT Astra Serif" w:hAnsi="PT Astra Serif"/>
          <w:color w:val="000000"/>
          <w:sz w:val="28"/>
          <w:szCs w:val="28"/>
        </w:rPr>
        <w:t>5</w:t>
      </w:r>
      <w:r>
        <w:rPr>
          <w:rFonts w:ascii="PT Astra Serif" w:hAnsi="PT Astra Serif"/>
          <w:color w:val="000000"/>
          <w:sz w:val="28"/>
          <w:szCs w:val="28"/>
        </w:rPr>
        <w:t xml:space="preserve"> годах единовременной выплаты отдельным категориям граждан</w:t>
      </w:r>
      <w:r w:rsidR="00C16A63">
        <w:rPr>
          <w:rFonts w:ascii="PT Astra Serif" w:hAnsi="PT Astra Serif"/>
          <w:color w:val="000000"/>
          <w:sz w:val="28"/>
          <w:szCs w:val="28"/>
        </w:rPr>
        <w:t>»;</w:t>
      </w:r>
    </w:p>
    <w:p w:rsidR="00B521A8" w:rsidRPr="00C16A63" w:rsidRDefault="00BA650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1.2. Приложение к постановлению 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>изложи</w:t>
      </w:r>
      <w:r w:rsidR="00A52C84" w:rsidRPr="00C16A63">
        <w:rPr>
          <w:rFonts w:ascii="PT Astra Serif" w:hAnsi="PT Astra Serif"/>
          <w:color w:val="000000"/>
          <w:spacing w:val="-10"/>
          <w:sz w:val="28"/>
          <w:szCs w:val="28"/>
        </w:rPr>
        <w:t>ть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в новой редакции</w:t>
      </w:r>
      <w:r w:rsidR="0079344C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(приложение)</w:t>
      </w:r>
      <w:r w:rsidR="00B521A8" w:rsidRPr="00C16A63">
        <w:rPr>
          <w:rFonts w:ascii="PT Astra Serif" w:hAnsi="PT Astra Serif"/>
          <w:color w:val="000000"/>
          <w:spacing w:val="-10"/>
          <w:sz w:val="28"/>
          <w:szCs w:val="28"/>
        </w:rPr>
        <w:t>.</w:t>
      </w:r>
    </w:p>
    <w:p w:rsidR="00510182" w:rsidRPr="001C63BB" w:rsidRDefault="0079344C" w:rsidP="0051018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proofErr w:type="gramStart"/>
      <w:r w:rsidR="00510182">
        <w:rPr>
          <w:rFonts w:ascii="PT Astra Serif" w:hAnsi="PT Astra Serif"/>
          <w:sz w:val="28"/>
          <w:szCs w:val="28"/>
        </w:rPr>
        <w:t>Настоящее п</w:t>
      </w:r>
      <w:r w:rsidR="00510182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510182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10182" w:rsidRPr="001C63BB">
        <w:rPr>
          <w:rFonts w:ascii="PT Astra Serif" w:hAnsi="PT Astra Serif"/>
          <w:sz w:val="28"/>
          <w:szCs w:val="28"/>
        </w:rPr>
        <w:t>Эл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№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ФС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77-74320 от 19.11.2018)</w:t>
      </w:r>
      <w:r w:rsidR="00510182">
        <w:rPr>
          <w:rFonts w:ascii="PT Astra Serif" w:hAnsi="PT Astra Serif"/>
          <w:sz w:val="28"/>
          <w:szCs w:val="28"/>
        </w:rPr>
        <w:t>,</w:t>
      </w:r>
      <w:r w:rsidR="00510182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510182">
        <w:rPr>
          <w:rFonts w:ascii="PT Astra Serif" w:hAnsi="PT Astra Serif"/>
          <w:sz w:val="28"/>
          <w:szCs w:val="28"/>
        </w:rPr>
        <w:t>сайт</w:t>
      </w:r>
      <w:r w:rsidR="00510182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79344C" w:rsidRDefault="0079344C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6E12CC" w:rsidRPr="006E12CC" w:rsidRDefault="006E12CC" w:rsidP="006E12C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6E12CC">
          <w:headerReference w:type="default" r:id="rId10"/>
          <w:headerReference w:type="first" r:id="rId11"/>
          <w:pgSz w:w="11906" w:h="16838"/>
          <w:pgMar w:top="851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890A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90A78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90A78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 w:rsidR="00890A78">
        <w:rPr>
          <w:rFonts w:ascii="PT Astra Serif" w:hAnsi="PT Astra Serif" w:cs="PT Astra Serif"/>
          <w:b/>
          <w:sz w:val="28"/>
          <w:szCs w:val="28"/>
        </w:rPr>
        <w:t xml:space="preserve"> - 2025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proofErr w:type="gramEnd"/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890A78" w:rsidRPr="00CA6AF1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31 марта 2025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Российской Федерации сроком на один год и более, либо заключили после  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31 марта 2025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2023-2025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31 марта 2025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Сведения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Список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подписываются усиленной квалифицированной электронной подписью и направляются в день формирования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отсутствии технической возможности представления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Списков по защищенным каналам связи 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пред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</w:t>
      </w:r>
      <w:proofErr w:type="gramStart"/>
      <w:r>
        <w:rPr>
          <w:rFonts w:ascii="PT Astra Serif" w:hAnsi="PT Astra Serif" w:cs="PT Astra Serif"/>
          <w:bCs/>
          <w:sz w:val="28"/>
          <w:szCs w:val="28"/>
          <w:lang w:eastAsia="ru-RU"/>
        </w:rPr>
        <w:t>заверенными</w:t>
      </w:r>
      <w:proofErr w:type="gram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 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достоверность сведений, представленных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31 марта 2025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890A78" w:rsidRPr="001F51FB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890A78" w:rsidRDefault="00096355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890A78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890A78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90A78" w:rsidRPr="002D3D24" w:rsidTr="009626BD">
        <w:trPr>
          <w:trHeight w:val="1042"/>
        </w:trPr>
        <w:tc>
          <w:tcPr>
            <w:tcW w:w="4472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СПИСОК</w:t>
      </w: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890A78" w:rsidRPr="00952C96" w:rsidRDefault="00890A78" w:rsidP="00890A78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90A78" w:rsidRPr="008139F6" w:rsidTr="009626BD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890A78" w:rsidRPr="008139F6" w:rsidTr="009626BD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90A78" w:rsidRPr="002D3D24" w:rsidTr="009626BD">
        <w:trPr>
          <w:trHeight w:val="1042"/>
        </w:trPr>
        <w:tc>
          <w:tcPr>
            <w:tcW w:w="3651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890A78" w:rsidRPr="002D3D24" w:rsidRDefault="00890A78" w:rsidP="00890A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both"/>
      </w:pPr>
    </w:p>
    <w:tbl>
      <w:tblPr>
        <w:tblW w:w="986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443"/>
      </w:tblGrid>
      <w:tr w:rsidR="00890A78" w:rsidRPr="001F51FB" w:rsidTr="009626BD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890A78" w:rsidRPr="001F51FB" w:rsidTr="009626BD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890A78" w:rsidRPr="001F51FB" w:rsidTr="009626BD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626BD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890A78" w:rsidRPr="001F51FB" w:rsidTr="009626BD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626BD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</w:t>
            </w:r>
            <w:r w:rsidRPr="00B353E0">
              <w:rPr>
                <w:rFonts w:ascii="PT Astra Serif" w:hAnsi="PT Astra Serif"/>
                <w:sz w:val="26"/>
                <w:szCs w:val="26"/>
              </w:rPr>
              <w:t>района от 02.08.2023 года № 95/629   «Об осуществлении в 2023-202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годах единовременной денежной выплаты отдельным категориям граждан»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по 31 марта 2025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(принимавшим) в 2023</w:t>
            </w:r>
            <w:r>
              <w:rPr>
                <w:rFonts w:ascii="PT Astra Serif" w:hAnsi="PT Astra Serif"/>
                <w:sz w:val="26"/>
                <w:szCs w:val="26"/>
              </w:rPr>
              <w:t>-202</w:t>
            </w:r>
            <w:r w:rsidR="008B1921">
              <w:rPr>
                <w:rFonts w:ascii="PT Astra Serif" w:hAnsi="PT Astra Serif"/>
                <w:sz w:val="26"/>
                <w:szCs w:val="26"/>
              </w:rPr>
              <w:t>5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890A78" w:rsidRPr="002D3D24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890A78" w:rsidRPr="001F51FB" w:rsidTr="009626BD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890A78" w:rsidRPr="001F51FB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</w:p>
    <w:sectPr w:rsidR="00C132F5" w:rsidSect="002D3D24">
      <w:headerReference w:type="defaul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55" w:rsidRDefault="00096355">
      <w:r>
        <w:separator/>
      </w:r>
    </w:p>
  </w:endnote>
  <w:endnote w:type="continuationSeparator" w:id="0">
    <w:p w:rsidR="00096355" w:rsidRDefault="0009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55" w:rsidRDefault="00096355">
      <w:r>
        <w:separator/>
      </w:r>
    </w:p>
  </w:footnote>
  <w:footnote w:type="continuationSeparator" w:id="0">
    <w:p w:rsidR="00096355" w:rsidRDefault="00096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10182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8322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90A78" w:rsidRPr="00A16B01" w:rsidRDefault="00890A7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121A55">
          <w:rPr>
            <w:rFonts w:ascii="PT Astra Serif" w:hAnsi="PT Astra Serif"/>
            <w:noProof/>
            <w:sz w:val="28"/>
            <w:szCs w:val="28"/>
          </w:rPr>
          <w:t>2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90A78" w:rsidRDefault="00890A7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890A78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6355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02D5D"/>
    <w:rsid w:val="00111AE1"/>
    <w:rsid w:val="00115CE3"/>
    <w:rsid w:val="0011670F"/>
    <w:rsid w:val="00121A55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1E9E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C4A7A"/>
    <w:rsid w:val="004C74A2"/>
    <w:rsid w:val="004D134A"/>
    <w:rsid w:val="004D66A1"/>
    <w:rsid w:val="004E0F76"/>
    <w:rsid w:val="004E3D57"/>
    <w:rsid w:val="004F3B39"/>
    <w:rsid w:val="004F4C0B"/>
    <w:rsid w:val="00510182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07EE2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765F1"/>
    <w:rsid w:val="008803D0"/>
    <w:rsid w:val="00886A38"/>
    <w:rsid w:val="00890A78"/>
    <w:rsid w:val="008A1BD4"/>
    <w:rsid w:val="008A457D"/>
    <w:rsid w:val="008A4661"/>
    <w:rsid w:val="008B1921"/>
    <w:rsid w:val="008C012C"/>
    <w:rsid w:val="008D0FBD"/>
    <w:rsid w:val="008E7B3C"/>
    <w:rsid w:val="008F2E0C"/>
    <w:rsid w:val="008F392B"/>
    <w:rsid w:val="009110D2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87B35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34A3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365D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6655B"/>
    <w:rsid w:val="00E708FF"/>
    <w:rsid w:val="00E71EC6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1B7E-312D-4A4F-834A-237F6BE3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269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7</cp:revision>
  <cp:lastPrinted>2024-02-12T13:00:00Z</cp:lastPrinted>
  <dcterms:created xsi:type="dcterms:W3CDTF">2024-02-12T13:52:00Z</dcterms:created>
  <dcterms:modified xsi:type="dcterms:W3CDTF">2024-12-18T06:32:00Z</dcterms:modified>
</cp:coreProperties>
</file>