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96953" w:rsidRPr="00F96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96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1074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>,</w:t>
      </w:r>
      <w:r w:rsidR="00AC349A">
        <w:rPr>
          <w:rFonts w:ascii="PT Astra Serif" w:hAnsi="PT Astra Serif"/>
          <w:sz w:val="28"/>
          <w:szCs w:val="28"/>
        </w:rPr>
        <w:t xml:space="preserve"> </w:t>
      </w:r>
      <w:r w:rsidR="00981260" w:rsidRPr="00981260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981260">
        <w:rPr>
          <w:rFonts w:ascii="PT Astra Serif" w:hAnsi="PT Astra Serif"/>
          <w:sz w:val="28"/>
          <w:szCs w:val="28"/>
        </w:rPr>
        <w:t xml:space="preserve">,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>администрация Щекинского</w:t>
      </w:r>
      <w:proofErr w:type="gramEnd"/>
      <w:r w:rsidRPr="00ED23AB">
        <w:rPr>
          <w:rFonts w:ascii="PT Astra Serif" w:hAnsi="PT Astra Serif"/>
          <w:sz w:val="28"/>
          <w:szCs w:val="28"/>
        </w:rPr>
        <w:t xml:space="preserve">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96953" w:rsidRPr="00F96953">
              <w:rPr>
                <w:rFonts w:ascii="PT Astra Serif" w:hAnsi="PT Astra Serif"/>
                <w:sz w:val="28"/>
                <w:szCs w:val="28"/>
              </w:rPr>
              <w:t>26.06.2025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96953">
              <w:rPr>
                <w:rFonts w:ascii="PT Astra Serif" w:hAnsi="PT Astra Serif"/>
                <w:sz w:val="28"/>
                <w:szCs w:val="28"/>
              </w:rPr>
              <w:t>6 – 1074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84,0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6 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709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 w:rsidP="00B32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32EB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B32EB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709,8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B32EB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75584,0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2EB8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101961,1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2EB8">
              <w:rPr>
                <w:rFonts w:ascii="PT Astra Serif" w:hAnsi="PT Astra Serif"/>
                <w:sz w:val="19"/>
                <w:szCs w:val="19"/>
              </w:rPr>
              <w:t>73462,0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B32E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234,2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20579,3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77073,1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5937D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5937D6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937D6">
              <w:rPr>
                <w:rFonts w:ascii="PT Astra Serif" w:hAnsi="PT Astra Serif"/>
                <w:sz w:val="19"/>
                <w:szCs w:val="19"/>
              </w:rPr>
              <w:t>10</w:t>
            </w:r>
            <w:r w:rsidR="00093457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892,2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234,1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4275,1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29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415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E3371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840,3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AC349A">
              <w:rPr>
                <w:rFonts w:ascii="PT Astra Serif" w:hAnsi="PT Astra Serif"/>
                <w:sz w:val="19"/>
                <w:szCs w:val="19"/>
              </w:rPr>
              <w:t> 823,4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AC349A">
              <w:rPr>
                <w:rFonts w:ascii="PT Astra Serif" w:hAnsi="PT Astra Serif"/>
                <w:sz w:val="19"/>
                <w:szCs w:val="19"/>
              </w:rPr>
              <w:t>6 118,3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C349A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6 3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 xml:space="preserve"> 657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C349A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1 8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</w:t>
            </w:r>
            <w:r w:rsidR="00054E6F">
              <w:rPr>
                <w:rFonts w:ascii="PT Astra Serif" w:hAnsi="PT Astra Serif"/>
                <w:sz w:val="19"/>
                <w:szCs w:val="19"/>
              </w:rPr>
              <w:t>1</w:t>
            </w:r>
            <w:r w:rsidR="00AC349A">
              <w:rPr>
                <w:rFonts w:ascii="PT Astra Serif" w:hAnsi="PT Astra Serif"/>
                <w:sz w:val="19"/>
                <w:szCs w:val="19"/>
              </w:rPr>
              <w:t>15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83AEB">
              <w:rPr>
                <w:rFonts w:ascii="PT Astra Serif" w:eastAsia="Times New Roman" w:hAnsi="PT Astra Serif"/>
              </w:rPr>
              <w:t>2</w:t>
            </w:r>
            <w:r w:rsidR="00AC349A">
              <w:rPr>
                <w:rFonts w:ascii="PT Astra Serif" w:eastAsia="Times New Roman" w:hAnsi="PT Astra Serif"/>
              </w:rPr>
              <w:t>9</w:t>
            </w:r>
            <w:r w:rsidR="00C83AEB">
              <w:rPr>
                <w:rFonts w:ascii="PT Astra Serif" w:eastAsia="Times New Roman" w:hAnsi="PT Astra Serif"/>
              </w:rPr>
              <w:t> </w:t>
            </w:r>
            <w:r w:rsidR="00AC349A">
              <w:rPr>
                <w:rFonts w:ascii="PT Astra Serif" w:eastAsia="Times New Roman" w:hAnsi="PT Astra Serif"/>
              </w:rPr>
              <w:t>415</w:t>
            </w:r>
            <w:r w:rsidR="00C83AEB">
              <w:rPr>
                <w:rFonts w:ascii="PT Astra Serif" w:eastAsia="Times New Roman" w:hAnsi="PT Astra Serif"/>
              </w:rPr>
              <w:t>,</w:t>
            </w:r>
            <w:r w:rsidR="00AC349A">
              <w:rPr>
                <w:rFonts w:ascii="PT Astra Serif" w:eastAsia="Times New Roman" w:hAnsi="PT Astra Serif"/>
              </w:rPr>
              <w:t>4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</w:t>
            </w:r>
            <w:r w:rsidR="00C83AEB">
              <w:rPr>
                <w:rFonts w:ascii="PT Astra Serif" w:eastAsia="Times New Roman" w:hAnsi="PT Astra Serif"/>
              </w:rPr>
              <w:t>1</w:t>
            </w:r>
            <w:r w:rsidR="00AC349A">
              <w:rPr>
                <w:rFonts w:ascii="PT Astra Serif" w:eastAsia="Times New Roman" w:hAnsi="PT Astra Serif"/>
              </w:rPr>
              <w:t>4 275</w:t>
            </w:r>
            <w:r w:rsidR="00CD7A39">
              <w:rPr>
                <w:rFonts w:ascii="PT Astra Serif" w:eastAsia="Times New Roman" w:hAnsi="PT Astra Serif"/>
              </w:rPr>
              <w:t>,</w:t>
            </w:r>
            <w:r w:rsidR="00AC349A">
              <w:rPr>
                <w:rFonts w:ascii="PT Astra Serif" w:eastAsia="Times New Roman" w:hAnsi="PT Astra Serif"/>
              </w:rPr>
              <w:t>1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E203FF" w:rsidP="00E203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E203FF" w:rsidP="00E203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5 164</w:t>
            </w:r>
            <w:r w:rsidR="0079673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B4AA3">
              <w:rPr>
                <w:rFonts w:ascii="PT Astra Serif" w:hAnsi="PT Astra Serif"/>
                <w:sz w:val="20"/>
                <w:szCs w:val="20"/>
                <w:lang w:eastAsia="en-US"/>
              </w:rPr>
              <w:t> 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2B4AA3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 xml:space="preserve"> 657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304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7D6CCC" w:rsidP="007D6C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784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7D6CCC" w:rsidP="007D6C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1 784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476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7D6CCC" w:rsidP="007D6C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8515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649</w:t>
            </w:r>
            <w:r w:rsidR="0048515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7D6CCC" w:rsidP="007D6CC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6 3</w:t>
            </w:r>
            <w:r w:rsidR="001D660E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4</w:t>
            </w:r>
            <w:r w:rsidR="001D660E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2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413DB6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413D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413DB6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413DB6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9 900,0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709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B3" w:rsidRDefault="009877B3">
      <w:r>
        <w:separator/>
      </w:r>
    </w:p>
  </w:endnote>
  <w:endnote w:type="continuationSeparator" w:id="0">
    <w:p w:rsidR="009877B3" w:rsidRDefault="0098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B3" w:rsidRDefault="009877B3">
      <w:r>
        <w:separator/>
      </w:r>
    </w:p>
  </w:footnote>
  <w:footnote w:type="continuationSeparator" w:id="0">
    <w:p w:rsidR="009877B3" w:rsidRDefault="0098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F96953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F96953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AA3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13DB6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37D6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008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D6CCC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B3D3F"/>
    <w:rsid w:val="008E6150"/>
    <w:rsid w:val="008E68DE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260"/>
    <w:rsid w:val="0098193E"/>
    <w:rsid w:val="009877B3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49A"/>
    <w:rsid w:val="00AC3558"/>
    <w:rsid w:val="00AE7F83"/>
    <w:rsid w:val="00AF7084"/>
    <w:rsid w:val="00B03FC0"/>
    <w:rsid w:val="00B0593F"/>
    <w:rsid w:val="00B2351D"/>
    <w:rsid w:val="00B320A2"/>
    <w:rsid w:val="00B32EB8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83AEB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03FF"/>
    <w:rsid w:val="00E267EA"/>
    <w:rsid w:val="00E33716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D7A9D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96953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A457-4C04-4A9B-A681-664B093C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2025-02-18T07:17:00Z</cp:lastPrinted>
  <dcterms:created xsi:type="dcterms:W3CDTF">2025-06-26T14:25:00Z</dcterms:created>
  <dcterms:modified xsi:type="dcterms:W3CDTF">2025-06-26T14:25:00Z</dcterms:modified>
</cp:coreProperties>
</file>