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C8" w:rsidRDefault="008A67C8" w:rsidP="008A67C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A67C8" w:rsidRDefault="008A67C8" w:rsidP="008A67C8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A67C8" w:rsidRDefault="008A67C8" w:rsidP="008A67C8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8A67C8" w:rsidRDefault="008A67C8" w:rsidP="008A67C8">
      <w:pPr>
        <w:jc w:val="center"/>
        <w:rPr>
          <w:b/>
          <w:bCs/>
          <w:sz w:val="28"/>
          <w:szCs w:val="28"/>
        </w:rPr>
      </w:pPr>
      <w:r w:rsidRPr="00780E88">
        <w:rPr>
          <w:b/>
          <w:bCs/>
          <w:color w:val="FF0000"/>
        </w:rPr>
        <w:tab/>
      </w:r>
    </w:p>
    <w:p w:rsidR="008A67C8" w:rsidRDefault="008A67C8" w:rsidP="008A67C8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A67C8" w:rsidRPr="00780E88" w:rsidRDefault="008A67C8" w:rsidP="008A67C8">
      <w:pPr>
        <w:tabs>
          <w:tab w:val="left" w:pos="5160"/>
        </w:tabs>
        <w:rPr>
          <w:b/>
          <w:bCs/>
          <w:color w:val="FF0000"/>
        </w:rPr>
      </w:pPr>
    </w:p>
    <w:p w:rsidR="008A67C8" w:rsidRDefault="008A67C8" w:rsidP="008A67C8">
      <w:pPr>
        <w:ind w:firstLine="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6346190" cy="259080"/>
                <wp:effectExtent l="0" t="0" r="16510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7C8" w:rsidRPr="00DA495B" w:rsidRDefault="008A67C8" w:rsidP="008A67C8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2025</w:t>
                            </w:r>
                            <w:r w:rsidRPr="00151D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Pr="00151DE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№ 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499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Z1uQIAAKk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" filled="f" stroked="f">
                <v:textbox inset="0,0,0,0">
                  <w:txbxContent>
                    <w:p w:rsidR="008A67C8" w:rsidRPr="00DA495B" w:rsidRDefault="008A67C8" w:rsidP="008A67C8">
                      <w:pPr>
                        <w:jc w:val="both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151DE9">
                        <w:rPr>
                          <w:b/>
                          <w:sz w:val="28"/>
                          <w:szCs w:val="28"/>
                        </w:rPr>
                        <w:t xml:space="preserve"> года</w:t>
                      </w:r>
                      <w:r w:rsidRPr="00151DE9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№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  <w:t xml:space="preserve">   </w:t>
      </w:r>
    </w:p>
    <w:p w:rsidR="008A67C8" w:rsidRDefault="008A67C8" w:rsidP="008A67C8">
      <w:pPr>
        <w:spacing w:line="360" w:lineRule="exact"/>
        <w:rPr>
          <w:b/>
          <w:sz w:val="28"/>
          <w:szCs w:val="28"/>
        </w:rPr>
      </w:pPr>
    </w:p>
    <w:p w:rsidR="008A67C8" w:rsidRDefault="008A67C8" w:rsidP="008A67C8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09.08.2022 года № 143</w:t>
      </w:r>
    </w:p>
    <w:p w:rsidR="008A67C8" w:rsidRPr="00037366" w:rsidRDefault="008A67C8" w:rsidP="008A67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7366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 бюджет муниципального образования Огаревское Щекинского района, администрирование которых закреплено за администрацией муниципального образования Огаревское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67C8" w:rsidRPr="00037366" w:rsidRDefault="008A67C8" w:rsidP="008A67C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A67C8" w:rsidRPr="00037366" w:rsidRDefault="008A67C8" w:rsidP="001528EA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736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3736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года №574 «Об общих требованиях к методике прогнозирования поступлений доходов в бюджеты бюджетной системы Российской Федерации», </w:t>
      </w:r>
      <w:r w:rsidR="001528EA">
        <w:rPr>
          <w:rFonts w:ascii="Times New Roman" w:hAnsi="Times New Roman" w:cs="Times New Roman"/>
          <w:sz w:val="28"/>
          <w:szCs w:val="28"/>
        </w:rPr>
        <w:t>на основании Протеста прокуратуры г. Щекино от 29.01.2025 № 7-01-2025/Прдп16-25-20700029  на М</w:t>
      </w:r>
      <w:r w:rsidR="001528EA" w:rsidRPr="00037366">
        <w:rPr>
          <w:rFonts w:ascii="Times New Roman" w:hAnsi="Times New Roman" w:cs="Times New Roman"/>
          <w:sz w:val="28"/>
          <w:szCs w:val="28"/>
        </w:rPr>
        <w:t>етодик</w:t>
      </w:r>
      <w:r w:rsidR="001528EA">
        <w:rPr>
          <w:rFonts w:ascii="Times New Roman" w:hAnsi="Times New Roman" w:cs="Times New Roman"/>
          <w:sz w:val="28"/>
          <w:szCs w:val="28"/>
        </w:rPr>
        <w:t>у</w:t>
      </w:r>
      <w:r w:rsidR="001528EA" w:rsidRPr="00037366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 бюджет муниципального образования Огаревское Щекинского района,</w:t>
      </w:r>
      <w:r w:rsidR="001528EA">
        <w:rPr>
          <w:rFonts w:ascii="Times New Roman" w:hAnsi="Times New Roman" w:cs="Times New Roman"/>
          <w:sz w:val="28"/>
          <w:szCs w:val="28"/>
        </w:rPr>
        <w:t xml:space="preserve"> </w:t>
      </w:r>
      <w:r w:rsidR="001528EA" w:rsidRPr="00037366">
        <w:rPr>
          <w:rFonts w:ascii="Times New Roman" w:hAnsi="Times New Roman" w:cs="Times New Roman"/>
          <w:sz w:val="28"/>
          <w:szCs w:val="28"/>
        </w:rPr>
        <w:t>администрирование которых закреплено за администрацией</w:t>
      </w:r>
      <w:proofErr w:type="gramEnd"/>
      <w:r w:rsidR="001528EA" w:rsidRPr="000373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Огаревское Щекинского района</w:t>
      </w:r>
      <w:r w:rsidR="001528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28EA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1528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Огаревское Щекинского района от 09.08.2022 № 143</w:t>
      </w:r>
      <w:r w:rsidR="001528EA">
        <w:rPr>
          <w:rFonts w:ascii="Times New Roman" w:hAnsi="Times New Roman" w:cs="Times New Roman"/>
          <w:sz w:val="28"/>
          <w:szCs w:val="28"/>
        </w:rPr>
        <w:t xml:space="preserve">, </w:t>
      </w:r>
      <w:r w:rsidRPr="0003736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Огаревское Щёкинского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366">
        <w:rPr>
          <w:rFonts w:ascii="Times New Roman" w:hAnsi="Times New Roman" w:cs="Times New Roman"/>
          <w:sz w:val="28"/>
          <w:szCs w:val="28"/>
        </w:rPr>
        <w:t xml:space="preserve"> </w:t>
      </w:r>
      <w:r w:rsidRPr="00FC7B0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3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7C8" w:rsidRDefault="008A67C8" w:rsidP="001528EA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Огаревское Щекинского района от 09.08.2022 № 143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>Об утверждении методики прогнозирования поступлений доходов в  бюджет муниципального образования Огаревское Щекинского района, администрирование которых закреплено за администрацией муниципального образования Огаревское Щекинского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C4531">
        <w:rPr>
          <w:rFonts w:ascii="Times New Roman" w:hAnsi="Times New Roman" w:cs="Times New Roman"/>
          <w:b w:val="0"/>
          <w:sz w:val="28"/>
          <w:szCs w:val="28"/>
        </w:rPr>
        <w:t>сле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6C4531">
        <w:rPr>
          <w:rFonts w:ascii="Times New Roman" w:hAnsi="Times New Roman"/>
          <w:b w:val="0"/>
          <w:sz w:val="28"/>
          <w:szCs w:val="28"/>
        </w:rPr>
        <w:t>ующие изменения:</w:t>
      </w:r>
    </w:p>
    <w:p w:rsidR="008A67C8" w:rsidRDefault="008A67C8" w:rsidP="001528EA">
      <w:pPr>
        <w:pStyle w:val="ConsPlusTitle"/>
        <w:widowControl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п.п</w:t>
      </w:r>
      <w:proofErr w:type="spellEnd"/>
      <w:r>
        <w:rPr>
          <w:rFonts w:ascii="Times New Roman" w:hAnsi="Times New Roman"/>
          <w:b w:val="0"/>
          <w:sz w:val="28"/>
          <w:szCs w:val="28"/>
        </w:rPr>
        <w:t>. «в» пункта 1.6 Методики изложить в новой редакции:</w:t>
      </w:r>
    </w:p>
    <w:p w:rsidR="00845B23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037366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>методика прогнозирования разрабатывается по каждому виду (или по решению главного администратора доходов-подвиду) доходов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вид доходов)  по форме согласно и содержит </w:t>
      </w:r>
      <w:r w:rsidRPr="00037366">
        <w:rPr>
          <w:color w:val="000000"/>
          <w:sz w:val="28"/>
          <w:szCs w:val="28"/>
        </w:rPr>
        <w:t xml:space="preserve">характеристику метода расчета прогнозного объема поступлений по каждому виду доходов. Для каждого вида доходов применяется один из следующих методов </w:t>
      </w:r>
      <w:r>
        <w:rPr>
          <w:color w:val="000000"/>
          <w:sz w:val="28"/>
          <w:szCs w:val="28"/>
        </w:rPr>
        <w:t xml:space="preserve"> или сочетание следующих методов расчета (применение сочетания методов расчета </w:t>
      </w:r>
      <w:r>
        <w:rPr>
          <w:color w:val="000000"/>
          <w:sz w:val="28"/>
          <w:szCs w:val="28"/>
        </w:rPr>
        <w:lastRenderedPageBreak/>
        <w:t xml:space="preserve">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</w:t>
      </w:r>
      <w:proofErr w:type="gramStart"/>
      <w:r>
        <w:rPr>
          <w:color w:val="000000"/>
          <w:sz w:val="28"/>
          <w:szCs w:val="28"/>
        </w:rPr>
        <w:t>должен однозначно определен</w:t>
      </w:r>
      <w:proofErr w:type="gramEnd"/>
      <w:r>
        <w:rPr>
          <w:color w:val="000000"/>
          <w:sz w:val="28"/>
          <w:szCs w:val="28"/>
        </w:rPr>
        <w:t xml:space="preserve"> в методике прогнозирования):  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037366">
        <w:rPr>
          <w:color w:val="000000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845B23" w:rsidRPr="00DF4D20" w:rsidRDefault="00845B23" w:rsidP="001528EA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F4D20">
        <w:rPr>
          <w:sz w:val="28"/>
          <w:szCs w:val="28"/>
        </w:rPr>
        <w:t>-усреднение – ( в том числе с применением</w:t>
      </w:r>
      <w:r w:rsidR="00DF4D20" w:rsidRPr="00DF4D20">
        <w:rPr>
          <w:sz w:val="28"/>
          <w:szCs w:val="28"/>
        </w:rPr>
        <w:t xml:space="preserve"> скользящей средней</w:t>
      </w:r>
      <w:r w:rsidRPr="00DF4D20">
        <w:rPr>
          <w:sz w:val="28"/>
          <w:szCs w:val="28"/>
        </w:rPr>
        <w:t>)</w:t>
      </w:r>
      <w:r w:rsidR="00DF4D20" w:rsidRPr="00DF4D20">
        <w:rPr>
          <w:sz w:val="28"/>
          <w:szCs w:val="28"/>
        </w:rPr>
        <w:t xml:space="preserve"> </w:t>
      </w:r>
      <w:proofErr w:type="gramStart"/>
      <w:r w:rsidR="00DF4D20" w:rsidRPr="00DF4D20">
        <w:rPr>
          <w:sz w:val="28"/>
          <w:szCs w:val="28"/>
        </w:rPr>
        <w:t>-</w:t>
      </w:r>
      <w:r w:rsidRPr="00DF4D20">
        <w:rPr>
          <w:sz w:val="28"/>
          <w:szCs w:val="28"/>
        </w:rPr>
        <w:t>р</w:t>
      </w:r>
      <w:proofErr w:type="gramEnd"/>
      <w:r w:rsidRPr="00DF4D20">
        <w:rPr>
          <w:sz w:val="28"/>
          <w:szCs w:val="28"/>
        </w:rPr>
        <w:t>асчет на основании усреднения  объемов доходов бюджетов бюджетной системы Российской Федерации не менее чем за 3 года</w:t>
      </w:r>
      <w:r w:rsidR="00DF4D20" w:rsidRPr="00DF4D20">
        <w:rPr>
          <w:sz w:val="28"/>
          <w:szCs w:val="28"/>
        </w:rPr>
        <w:t>, предшествующих текущему году, очередному году</w:t>
      </w:r>
      <w:r w:rsidRPr="00DF4D20">
        <w:rPr>
          <w:sz w:val="28"/>
          <w:szCs w:val="28"/>
        </w:rPr>
        <w:t xml:space="preserve"> или </w:t>
      </w:r>
      <w:r w:rsidR="00DF4D20" w:rsidRPr="00DF4D20">
        <w:rPr>
          <w:sz w:val="28"/>
          <w:szCs w:val="28"/>
        </w:rPr>
        <w:t>году, на который производится такой расчет, или за весь период поступления соответствующего вида доходов в случае, если он не превышает 3 года;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037366">
        <w:rPr>
          <w:color w:val="000000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037366">
        <w:rPr>
          <w:color w:val="000000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037366">
        <w:rPr>
          <w:color w:val="000000"/>
          <w:sz w:val="28"/>
          <w:szCs w:val="28"/>
        </w:rPr>
        <w:t>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037366">
        <w:rPr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845B23" w:rsidRPr="00037366" w:rsidRDefault="00845B23" w:rsidP="001528EA">
      <w:pPr>
        <w:pStyle w:val="a3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</w:t>
      </w:r>
      <w:r w:rsidRPr="00037366">
        <w:rPr>
          <w:color w:val="000000"/>
          <w:sz w:val="28"/>
          <w:szCs w:val="28"/>
        </w:rPr>
        <w:t xml:space="preserve">иной способ, который должен быть описан и обоснован в методике </w:t>
      </w:r>
      <w:r>
        <w:rPr>
          <w:color w:val="000000"/>
          <w:sz w:val="28"/>
          <w:szCs w:val="28"/>
        </w:rPr>
        <w:t xml:space="preserve">     </w:t>
      </w:r>
      <w:r w:rsidRPr="00037366">
        <w:rPr>
          <w:color w:val="000000"/>
          <w:sz w:val="28"/>
          <w:szCs w:val="28"/>
        </w:rPr>
        <w:t>прогнозирования</w:t>
      </w:r>
      <w:r w:rsidR="001528EA">
        <w:rPr>
          <w:color w:val="000000"/>
          <w:sz w:val="28"/>
          <w:szCs w:val="28"/>
        </w:rPr>
        <w:t>»</w:t>
      </w:r>
      <w:bookmarkStart w:id="0" w:name="_GoBack"/>
      <w:bookmarkEnd w:id="0"/>
      <w:r w:rsidRPr="00037366">
        <w:rPr>
          <w:color w:val="000000"/>
          <w:sz w:val="28"/>
          <w:szCs w:val="28"/>
        </w:rPr>
        <w:t>;</w:t>
      </w:r>
    </w:p>
    <w:p w:rsidR="008A67C8" w:rsidRPr="00037366" w:rsidRDefault="00DF4D20" w:rsidP="001528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67C8">
        <w:rPr>
          <w:sz w:val="28"/>
          <w:szCs w:val="28"/>
        </w:rPr>
        <w:t>2</w:t>
      </w:r>
      <w:r w:rsidR="008A67C8" w:rsidRPr="00037366">
        <w:rPr>
          <w:sz w:val="28"/>
          <w:szCs w:val="28"/>
        </w:rPr>
        <w:t>.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 муниципального образования Огаревское Щекинского района по адресу: Тульская область, Щекинский район, с.п. Огаревка, ул. Шахтерская,  д.7.</w:t>
      </w:r>
    </w:p>
    <w:p w:rsidR="008A67C8" w:rsidRPr="00037366" w:rsidRDefault="008A67C8" w:rsidP="001528E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366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8A67C8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C8" w:rsidRPr="00037366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3736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A67C8" w:rsidRPr="00037366" w:rsidRDefault="008A67C8" w:rsidP="008A67C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36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037366"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</w:p>
    <w:p w:rsidR="008A67C8" w:rsidRDefault="008A67C8" w:rsidP="00DF4D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366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  <w:r w:rsidRPr="0003736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4D20">
        <w:rPr>
          <w:rFonts w:ascii="Times New Roman" w:hAnsi="Times New Roman" w:cs="Times New Roman"/>
          <w:b/>
          <w:sz w:val="28"/>
          <w:szCs w:val="28"/>
        </w:rPr>
        <w:t>О.В. Шавлова</w:t>
      </w:r>
    </w:p>
    <w:p w:rsidR="00D331EF" w:rsidRDefault="00D331EF"/>
    <w:sectPr w:rsidR="00D3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CA"/>
    <w:rsid w:val="001528EA"/>
    <w:rsid w:val="00246CCA"/>
    <w:rsid w:val="00845B23"/>
    <w:rsid w:val="008A67C8"/>
    <w:rsid w:val="009D5C6D"/>
    <w:rsid w:val="00B275C7"/>
    <w:rsid w:val="00D331EF"/>
    <w:rsid w:val="00D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4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4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dcterms:created xsi:type="dcterms:W3CDTF">2025-01-30T11:51:00Z</dcterms:created>
  <dcterms:modified xsi:type="dcterms:W3CDTF">2025-01-30T12:29:00Z</dcterms:modified>
</cp:coreProperties>
</file>