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7FE" w:rsidRPr="003847FE" w:rsidRDefault="003847FE" w:rsidP="003847FE">
      <w:pPr>
        <w:shd w:val="clear" w:color="auto" w:fill="FFFFFF"/>
        <w:spacing w:after="225" w:line="240" w:lineRule="auto"/>
        <w:jc w:val="right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УТВЕРЖДЕН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right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протоколом заседания Комиссии по</w:t>
      </w: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br/>
        <w:t>оценке эффективности</w:t>
      </w: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br/>
      </w:r>
      <w:bookmarkStart w:id="0" w:name="_GoBack"/>
      <w:bookmarkEnd w:id="0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функционирования антимонопольного</w:t>
      </w: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br/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</w:p>
    <w:p w:rsidR="003847FE" w:rsidRPr="003847FE" w:rsidRDefault="003847FE" w:rsidP="003847FE">
      <w:pPr>
        <w:shd w:val="clear" w:color="auto" w:fill="FFFFFF"/>
        <w:spacing w:after="225" w:line="240" w:lineRule="auto"/>
        <w:jc w:val="right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от 28 января 2022 года № 1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ДОКЛАД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об антимонопольном </w:t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комплаенсе</w:t>
      </w:r>
      <w:proofErr w:type="spellEnd"/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администрации муниципального образования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 район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за 2021 год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Система внутреннего обеспечения соответствия требованиям антимонопольного законодательства в деятельности администрации МО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 (далее - антимонопольный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) является инструментом профилактики нарушений антимонопольного законодательства, позволяющим обеспечить достижение ключевого показателя, предусмотренного пунктом «б» пункта 1 Национального плана развития конкуренции в Российской Федерации на 2018 – 2020 годы (далее – Национальный план), утвержденного Указом Президента РФ от 21.12.2017 № 618 «Об основных направлениях государственной политики по развитию конкуренции» (далее – Указ № 618): «снижение количества нарушений антимонопольного законодательства со стороны органов государственной власти и органов местного самоуправления к 2020 году не менее чем в 2 раза по сравнению с 2017 годом».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Во исполнение Указа № 618, поручений, закрепленных в подпунктах «а)», «е)» пункта 2 Национального плана, руководствуясь методическими рекомендациями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утвержденными распоряжением Правительства Российской Федерации от 18.10.2018 № 2258-р, в 2021 году осуществлялись основные мероприятия по внедрению системы внутреннего обеспечения соответствия требованиям антимонопольного законодательства.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В текущем году разработаны и утверждены следующие муниципальные правовые акты: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- постановление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23.12.2021 № 12-1692 «О внесении изменений в постановление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09.01.2019       № 1-1 «Об утверждении Положения об организации системы внутреннего обеспечения соответствия требованиям антимонопольного законодательства (антимонопольного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) в администрации муниципального образования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район», правовым актом утверждены состав комиссии по оценке эффективности организации 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, уровни рисков нарушения антимонопольного законодательства, методика расчета ключевых показателей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, определены уполномоченный и коллегиальный органы;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- постановление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30.12.2021 №12-1760 «Об утверждении Плана мероприятий (дорожная карта)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-рисков нарушения антимонопольного законодательства в муниципальном образовании        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 на 2022 год», данным постановлением утверждены карта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-рисков нарушения антимонопольного законодательства, план мероприятий (дорожная карта) по снижению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-рисков.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Вышеуказанными муниципальными актами в рамках внедрения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уполномоченным органом, ответственным за организацию и функционирование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определён комитет экономического развития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коллегиальным органом, осуществляющим оценку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определена Комиссия по оценке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 соответствии с Положением об организации системы внутреннего обеспечения соответствия требованиям антимонопольного законодательства (антимонопольного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) (утв. Постановлением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23.12.2021 № 12-1692) доклад содержит информацию: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lastRenderedPageBreak/>
        <w:t xml:space="preserve">1. О результатах проведенной оценки рисков нарушения отраслевыми (функциональными) органами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антимонопольного законодательства;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2. Об исполнении мероприятий по снижению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-рисков администрацией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антимонопольного законодательства;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3. О достижении ключевых показателей эффективности реализации мероприятий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Результаты проведенной оценки рисков нарушения отраслевыми (функциональными) органами администрации </w:t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 района антимонопольного законодательства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 отчетном году при проведении оценки рисков отраслевыми (функциональными) органами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- не выявлено случаев отрицательного влияния на отношение институтов гражданского общества к деятельности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по развитию конкуренции;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не выявлено сведений о возбуждении дел о нарушении антимонопольного законодательства в отношении должностных лиц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не выявлено случаев привлечения к административной ответственности в виде наложения штрафов на должностных лиц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или в виде их дисквалификации.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не выявлено сведений о выдаче в отношении отраслевых (функциональных) органов предупреждения о прекращении действий (бездействия), которые содержат признаки нарушения антимонопольного законодательства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В 2021 году риски нарушения антимонопольного законодательства не выявлены.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При проведении процедуры оценки регулирующего воздействия проектов нормативных правовых актов и оценки фактического регулирования действующих </w:t>
      </w:r>
      <w:proofErr w:type="gram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нормативных правовых актов</w:t>
      </w:r>
      <w:proofErr w:type="gram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затрагивающих вопросы осуществления предпринимательской и инвестиционной деятельности положений, способствующих необоснованному ограничению конкуренции не выявлено, предложений и замечаний в ходе общественных обсуждений не поступали.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Исполнение плана мероприятий (дорожной карты) по снижению </w:t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-рисков нарушений антимонопольного законодательства в муниципальном образовании </w:t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 район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 целях снижения рисков нарушения антимонопольного законодательства разработан план мероприятий по снижению рисков нарушений антимонопольного законодательства в муниципальном образовании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 (утв. постановлением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14.11.2018 № 11-1506), мероприятия плана по выполнены в полном объеме, ожидаемые результаты достигнуты.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Отраслевыми (функциональными) органами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проведён анализ выявленных нарушений антимонопольного законодательства за предыдущие 3 года (наличие предостережений, предупреждений, жалоб, штрафов, возбужденных дел), а также анализ действующих нормативных правовых актов.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По данным Тульского управления Федеральной антимонопольной службы России поступали жалобы участников закупок по федеральному закону от 05.04.2013 № 44-ФЗ «О контрактной системе в сфере закупок товаров, работ, услуг для обеспечения государственных и муниципальных нужд» на действия заказчиков, комиссий заказчиков, в виду отсутствия признаков нарушения антимонопольного законодательства в отношении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в 2019 – 2021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г.г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. предостережений, штрафов и уведомлений о возбуждений дел в части нарушений антимонопольного законодательства в сфере закупок не поступало.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 ходе анализа выявлено, что в отношении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Тульским управления Федеральной антимонопольной службы России были выданы 6 предупреждений (в 2019 году – 5, в 2021 -1)</w:t>
      </w:r>
      <w:proofErr w:type="gram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, .</w:t>
      </w:r>
      <w:proofErr w:type="gramEnd"/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Предупреждения №№ 12-16 от 02.07.2019 года сняты в связи с выполнением требований предупреждений в полном объеме. Предупреждение № 10 от 18.08.2021 года снято в связи с выполнением требований в полном объеме (договор об аренде недвижимого муниципального имущества от 16.11.2020 № 100 расторгнут).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27.12.2021 года поступила жалоба на действия администрации муниципального образования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 при определении поставщика (подрядчика, исполнителя) путем проведения электронного аукциона </w:t>
      </w: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lastRenderedPageBreak/>
        <w:t>среди субъектов малого предпринимательства. Рассмотрев жабу на заседании Комиссии Тульского УФАС России 29.12.2021 года, вынесено решение о признании жалобы необоснованной.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По итогам анализа нарушений разработана карта рисков (приложение 1).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 течение 2018-2020 годов в отношении должностных лиц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дел о нарушении антимонопольного законодательства не возбуждалось, к административной ответственности (штрафы, дисквалификация) в сфере антимонопольного законодательства должностные лица не привлекались.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По итогам проведённого анализа предложения о внесении изменений в нормативные правовые акты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структурных подразделений не поступили.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Руководителями отраслевых (функциональных) органов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обеспечено ознакомление сотрудников с постановление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23.12.2021 № 12-1692 «О внесении изменений в постановление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от 09.01.2019       № 1-1 «Об утверждении Положения об организации системы внутреннего обеспечения соответствия требованиям антимонопольного законодательства (антимонопольного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) в администрации муниципального образования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район».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Проекты нормативных правовых актов размещаются разработчиками на официальном Портале муниципального образования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Щекинский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 </w:t>
      </w:r>
    </w:p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Достижение отраслевыми (функциональными) органами администрации </w:t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 xml:space="preserve"> района в установленной сфере деятельности ключевых показателей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комплаенса</w:t>
      </w:r>
      <w:proofErr w:type="spellEnd"/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В соответствии с порядком оценки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ключевыми показателями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являются: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коэффициент снижения количества нарушений антимонопольного законодательства со стороны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(по сравнению с 2019 годом);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доля проектов нормативных правовых актов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имеющих нормативный правовой характер, на которые распространяется действие антимонопольного законодательства и в которых выявлены риски нарушения антимонопольного законодательства;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доля нормативных правовых актов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имеющих нормативный правовой характер, на которые распространяется действие антимонопольного законодательства и в которых выявлены риски нарушения антимонопольного законодательства.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1. Коэффициент снижения количества нарушений антимонопольного законодательства со стороны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(по сравнению с 2019 годом) рассчитывается по следующей формуле: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"/>
        <w:gridCol w:w="433"/>
        <w:gridCol w:w="381"/>
      </w:tblGrid>
      <w:tr w:rsidR="003847FE" w:rsidRPr="003847FE" w:rsidTr="003847FE">
        <w:trPr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КСН =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КНпп</w:t>
            </w:r>
            <w:proofErr w:type="spellEnd"/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, где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0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КНоп</w:t>
            </w:r>
            <w:proofErr w:type="spellEnd"/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0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</w:p>
        </w:tc>
      </w:tr>
    </w:tbl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КСН – коэффициент снижения количества нарушений антимонопольного законодательства со стороны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по сравнению с предыдущим периодом;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КНпп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– количество нарушений антимонопольного законодательства со стороны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в предыдущем периоде;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КНоп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– количество нарушений антимонопольного законодательства со стороны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в отчетном периоде.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 нарушениям антимонопольного законодательства относят: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> возбужденные антимонопольным органом дела об административных правонарушениях;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noBreakHyphen/>
        <w:t xml:space="preserve"> выданные антимонопольным органом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</w:t>
      </w: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lastRenderedPageBreak/>
        <w:t>устранении причин и условий, способствовавших возникновению такого нарушения, и о принятии мер по устранению последствий такого нарушения;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- направленные антимонопольным органом предостережения о недопустимости совершения действий, которые могут привести к нарушению антимонопольного законодательства.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По данным Тульского управления Федеральной антимонопольной службы России по количество нарушений антимонопольного законодательства составило: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2019 год - получены 5 предупреждений, сняты в связи с выполнением требований предупреждений в полном объеме;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2020 год – нарушений нет;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2021 год – получено предупреждение, рассмотрение дела прекращено в связи с отсутствием нарушения антимонопольного законодательства.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Коэффициент снижения по итогам 2021 года: КСН - 0.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2. Доля проектов нормативных правовых актов администрации </w:t>
      </w:r>
      <w:proofErr w:type="gram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о района</w:t>
      </w:r>
      <w:proofErr w:type="gram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имеющих нормативный правовой характер, на которые распространяется действие антимонопольного законодательства и в которых выявлены риски нарушения антимонопольного законодательства.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Доля проектов нормативных правовых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выявлены риски нарушения антимонопольного законодательства, рассчитываются по формуле: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Дпнпа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= </w:t>
      </w:r>
      <w:proofErr w:type="spellStart"/>
      <w:proofErr w:type="gram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Кпнпа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,</w:t>
      </w:r>
      <w:proofErr w:type="gram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где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             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КНоп</w:t>
      </w:r>
      <w:proofErr w:type="spellEnd"/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Дпнпа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– доля проектов нормативных правовых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выявлены риски нарушения антимонопольного законодательства;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Кпнпа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– количество проектов нормативных правовых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выявлены риски нарушения антимонопольного законодательства, в отчетном периоде;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КНоп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- количество нормативных правовых актов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антимонопольным органов выявлены нарушения антимонопольного законодательства, в отчетном периоде.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3. Доля нормативных правовых актов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выявлены риски нарушения антимонопольного законодательства, рассчитываются по формуле: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noProof/>
          <w:color w:val="414141"/>
          <w:sz w:val="18"/>
          <w:szCs w:val="18"/>
          <w:lang w:eastAsia="ru-RU"/>
        </w:rPr>
        <mc:AlternateContent>
          <mc:Choice Requires="wps">
            <w:drawing>
              <wp:inline distT="0" distB="0" distL="0" distR="0">
                <wp:extent cx="800100" cy="247650"/>
                <wp:effectExtent l="0" t="0" r="0" b="0"/>
                <wp:docPr id="1" name="Прямоугольник 1" descr="C:\Users\7B18~1\AppData\Local\Temp\msohtmlclip1\01\clip_image00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800100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911C4A1" id="Прямоугольник 1" o:spid="_x0000_s1026" style="width:63pt;height:1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" filled="f" stroked="f">
                <o:lock v:ext="edit" aspectratio="t"/>
                <w10:anchorlock/>
              </v:rect>
            </w:pict>
          </mc:Fallback>
        </mc:AlternateContent>
      </w: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 , где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Днпа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– </w:t>
      </w:r>
      <w:proofErr w:type="gram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доля нормативных правовых актов</w:t>
      </w:r>
      <w:proofErr w:type="gram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в которых выявлены риски нарушения антимонопольного законодательства;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Кнпа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– количество нормативных правовых актов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администрацией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 выявлены риски нарушения антимонопольного законодательства (в отчетном периоде);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КНоп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- количество нормативных правовых администрации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Щекинского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района, в которых антимонопольным органом выявлены нарушения антимонопольного законодательства (в отчетном периоде).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Количество проектов нормативных правовых актов, в которых выявлены риски нарушения антимонопольного законодательства, в отчетном периоде – 0;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Количество нормативных правовых актов, в которых антимонопольным органом выявлены нарушения антимонопольного законодательства – 0.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Доля проектов нормативных правовых актов, в которых выявлены риски нарушения антимонопольного законодательства -0.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Учитывая, что ключевые показатели эффективности функционирования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сохраняются на достигнутом уровне, мероприятия антимонопольного </w:t>
      </w:r>
      <w:proofErr w:type="spellStart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>комплаенса</w:t>
      </w:r>
      <w:proofErr w:type="spellEnd"/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t xml:space="preserve"> признаны эффективными.</w:t>
      </w:r>
    </w:p>
    <w:p w:rsidR="003847FE" w:rsidRPr="003847FE" w:rsidRDefault="003847FE" w:rsidP="003847FE">
      <w:pPr>
        <w:shd w:val="clear" w:color="auto" w:fill="FFFFFF"/>
        <w:spacing w:after="225" w:line="240" w:lineRule="auto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lastRenderedPageBreak/>
        <w:t>В предстоящем году будет продолжена работа по анализу разрабатываемых проектов и действующих муниципальных правовых актов на соответствие законодательству в сфере антимонопольного законодательства.</w:t>
      </w:r>
    </w:p>
    <w:p w:rsidR="003847FE" w:rsidRPr="003847FE" w:rsidRDefault="003847FE" w:rsidP="003847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7FE">
        <w:rPr>
          <w:rFonts w:ascii="Tahoma" w:eastAsia="Times New Roman" w:hAnsi="Tahoma" w:cs="Tahoma"/>
          <w:color w:val="414141"/>
          <w:sz w:val="18"/>
          <w:szCs w:val="18"/>
          <w:lang w:eastAsia="ru-RU"/>
        </w:rPr>
        <w:br/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</w:tblGrid>
      <w:tr w:rsidR="003847FE" w:rsidRPr="003847FE" w:rsidTr="003847FE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Приложение № 1</w:t>
            </w:r>
          </w:p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 xml:space="preserve">к докладу об антимонопольном </w:t>
            </w: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комплаенсе</w:t>
            </w:r>
            <w:proofErr w:type="spellEnd"/>
          </w:p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администрации муниципального образования</w:t>
            </w:r>
          </w:p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 xml:space="preserve"> район</w:t>
            </w:r>
          </w:p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за 2021 год</w:t>
            </w:r>
          </w:p>
        </w:tc>
      </w:tr>
    </w:tbl>
    <w:p w:rsidR="003847FE" w:rsidRPr="003847FE" w:rsidRDefault="003847FE" w:rsidP="003847FE">
      <w:pPr>
        <w:shd w:val="clear" w:color="auto" w:fill="FFFFFF"/>
        <w:spacing w:after="225" w:line="240" w:lineRule="auto"/>
        <w:jc w:val="center"/>
        <w:rPr>
          <w:rFonts w:ascii="Tahoma" w:eastAsia="Times New Roman" w:hAnsi="Tahoma" w:cs="Tahoma"/>
          <w:color w:val="414141"/>
          <w:sz w:val="18"/>
          <w:szCs w:val="18"/>
          <w:lang w:eastAsia="ru-RU"/>
        </w:rPr>
      </w:pP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КАРТА</w:t>
      </w:r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br/>
      </w:r>
      <w:proofErr w:type="spellStart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комплаенс</w:t>
      </w:r>
      <w:proofErr w:type="spellEnd"/>
      <w:r w:rsidRPr="003847FE">
        <w:rPr>
          <w:rFonts w:ascii="Tahoma" w:eastAsia="Times New Roman" w:hAnsi="Tahoma" w:cs="Tahoma"/>
          <w:b/>
          <w:bCs/>
          <w:color w:val="414141"/>
          <w:sz w:val="18"/>
          <w:szCs w:val="18"/>
          <w:lang w:eastAsia="ru-RU"/>
        </w:rPr>
        <w:t>-рисков нарушения антимонопольного законодательства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9"/>
        <w:gridCol w:w="2478"/>
        <w:gridCol w:w="1342"/>
      </w:tblGrid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Комплаенс</w:t>
            </w:r>
            <w:proofErr w:type="spellEnd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-риск (описание)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Причины и условия возникновения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Уровень риска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3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1. Принятие муниципальных правовых актов, положения которых привели или могут привести к недопущению, ограничению или устранению конкуренции.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1) низкая квалификация сотрудников;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2) незнание сотрудниками законодательства о защите конкуренции.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Низкий уровень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2. Нарушение установленного законодательством порядка предоставления муниципального имущества в аренду, предоставления права на размещение нестационарных торговых объектов (передача имущества без торгов, нарушение порядка проведения торгов). Нарушение порядка рассмотрения обращений граждан. Предоставление обратившимся гражданам или юридическим лицам информации в приоритетном порядке.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1) низкая квалификация сотрудников;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2) отсутствие контроля со стороны руководителя;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 xml:space="preserve">3) наличие </w:t>
            </w: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невыявленного</w:t>
            </w:r>
            <w:proofErr w:type="spellEnd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 xml:space="preserve"> конфликта интересов.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proofErr w:type="spellStart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Незначи</w:t>
            </w:r>
            <w:proofErr w:type="spellEnd"/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-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тельный уровень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3. Проведение муниципальных проверок с нарушением порядка их проведения.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1) низкая квалификация сотрудников;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2) незнание сотрудниками законодательства в соответствующей сфере.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Существенный уровень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4. Создание необоснованных преимуществ юридическим и физическим лицам при предоставлении муниципальных преференций.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1) наличие не выявленного конфликта интересов;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2) незнание сотрудниками законодательства о защите конкуренции;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3) неоднозначность толкования.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Существенный уровень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jc w:val="center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3</w:t>
            </w:r>
          </w:p>
        </w:tc>
      </w:tr>
      <w:tr w:rsidR="003847FE" w:rsidRPr="003847FE" w:rsidTr="003847F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5. В сфере закупок для муниципальных нужд: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1) нарушение порядка определения победителя или победителей торгов, запроса котировок, запроса предложений;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lastRenderedPageBreak/>
              <w:t>2) не предусмотренное федеральными законами или иными нормативными правовыми актами ограничение доступа к участию в торгах, запросе котировок, запросе предложений;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3) установление непредусмотренных законодательством Российской Федерации требований к товарам или хозяйствующим субъектам;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4) ограничение конкуренции между участниками торгов, участниками запроса котировок, участниками запроса предложений путем включения в состав лотов товаров, работ, услуг, технологически и функционально не связанных с товарами, работами, услугами, поставки, выполнение, оказание которых являются предметом торгов, запроса котировок, запроса предложений.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lastRenderedPageBreak/>
              <w:t>1) отсутствие достаточной квалификации сотрудников, осуществляющих подготовку и проведение закупки;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lastRenderedPageBreak/>
              <w:t>2) высокая нагрузка на сотрудников;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3) нарушение порядка и сроков размещения документации о закупке;</w:t>
            </w:r>
          </w:p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t>4) отсутствие разъяснений уполномоченного органа по вопросам проведения закупок.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847FE" w:rsidRPr="003847FE" w:rsidRDefault="003847FE" w:rsidP="003847FE">
            <w:pPr>
              <w:spacing w:after="225" w:line="240" w:lineRule="auto"/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</w:pPr>
            <w:r w:rsidRPr="003847FE">
              <w:rPr>
                <w:rFonts w:ascii="Tahoma" w:eastAsia="Times New Roman" w:hAnsi="Tahoma" w:cs="Tahoma"/>
                <w:color w:val="414141"/>
                <w:sz w:val="18"/>
                <w:szCs w:val="18"/>
                <w:lang w:eastAsia="ru-RU"/>
              </w:rPr>
              <w:lastRenderedPageBreak/>
              <w:t>Высокий уровень</w:t>
            </w:r>
          </w:p>
        </w:tc>
      </w:tr>
    </w:tbl>
    <w:p w:rsidR="00BA5D78" w:rsidRDefault="003847FE"/>
    <w:sectPr w:rsidR="00BA5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7FE"/>
    <w:rsid w:val="002F6B93"/>
    <w:rsid w:val="003847FE"/>
    <w:rsid w:val="00E05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2CF584-2E1A-452F-A44F-7F967B63F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847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8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2489</Words>
  <Characters>14189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Вилинская</dc:creator>
  <cp:keywords/>
  <dc:description/>
  <cp:lastModifiedBy>Ольга Вилинская</cp:lastModifiedBy>
  <cp:revision>1</cp:revision>
  <dcterms:created xsi:type="dcterms:W3CDTF">2025-01-27T08:56:00Z</dcterms:created>
  <dcterms:modified xsi:type="dcterms:W3CDTF">2025-01-27T08:56:00Z</dcterms:modified>
</cp:coreProperties>
</file>