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  <w:u w:val="single"/>
        </w:rPr>
        <w:t>Основные требования для помещений с газовым оборудованием</w:t>
      </w:r>
    </w:p>
    <w:p w14:paraId="02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  <w:u w:val="single"/>
        </w:rPr>
        <w:t>Объем помещения:</w:t>
      </w:r>
    </w:p>
    <w:p w14:paraId="03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установке в кухне газовой плиты и проточного водонагревателя или отопительного котла </w:t>
      </w:r>
      <w:r>
        <w:rPr>
          <w:rFonts w:ascii="PT Astra Serif" w:hAnsi="PT Astra Serif"/>
          <w:b w:val="1"/>
          <w:sz w:val="28"/>
        </w:rPr>
        <w:t>с закрытой камерой сгорания</w:t>
      </w:r>
      <w:r>
        <w:rPr>
          <w:rFonts w:ascii="PT Astra Serif" w:hAnsi="PT Astra Serif"/>
          <w:sz w:val="28"/>
        </w:rPr>
        <w:t xml:space="preserve"> объем кухни следует принимать, не менее (п. 5 .1.): </w:t>
      </w:r>
    </w:p>
    <w:p w14:paraId="04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sz w:val="28"/>
        </w:rPr>
      </w:pPr>
      <w:bookmarkStart w:id="1" w:name="P0120"/>
      <w:bookmarkEnd w:id="1"/>
      <w:r>
        <w:rPr>
          <w:rFonts w:ascii="PT Astra Serif" w:hAnsi="PT Astra Serif"/>
          <w:sz w:val="28"/>
        </w:rPr>
        <w:t xml:space="preserve">8 - для газовой плиты с двумя горелками и котла с закрытой камерой сгорания; </w:t>
      </w:r>
    </w:p>
    <w:p w14:paraId="05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sz w:val="28"/>
        </w:rPr>
      </w:pPr>
      <w:bookmarkStart w:id="2" w:name="P0123"/>
      <w:bookmarkEnd w:id="2"/>
      <w:r>
        <w:rPr>
          <w:rFonts w:ascii="PT Astra Serif" w:hAnsi="PT Astra Serif"/>
          <w:sz w:val="28"/>
        </w:rPr>
        <w:t xml:space="preserve">12 - для газовой плиты с тремя горелками и котла с закрытой камерой сгорания; </w:t>
      </w:r>
    </w:p>
    <w:p w14:paraId="06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sz w:val="28"/>
        </w:rPr>
      </w:pPr>
      <w:bookmarkStart w:id="3" w:name="P0126"/>
      <w:bookmarkEnd w:id="3"/>
      <w:r>
        <w:rPr>
          <w:rFonts w:ascii="PT Astra Serif" w:hAnsi="PT Astra Serif"/>
          <w:sz w:val="28"/>
        </w:rPr>
        <w:t xml:space="preserve">15 - для газовой плиты с четырьмя горелками и котла с закрытой камерой сгорания. </w:t>
      </w:r>
    </w:p>
    <w:p w14:paraId="07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установке в кухне газовой плиты и емкостного водонагревателя, газовой плиты и отопительного котла </w:t>
      </w:r>
      <w:r>
        <w:rPr>
          <w:rFonts w:ascii="PT Astra Serif" w:hAnsi="PT Astra Serif"/>
          <w:b w:val="1"/>
          <w:sz w:val="28"/>
        </w:rPr>
        <w:t>с открытой камерой сгорания</w:t>
      </w:r>
      <w:r>
        <w:rPr>
          <w:rFonts w:ascii="PT Astra Serif" w:hAnsi="PT Astra Serif"/>
          <w:sz w:val="28"/>
        </w:rPr>
        <w:t xml:space="preserve"> (одноконтурного или двухконтурного) объем кухни должен быть на 6 м</w:t>
      </w:r>
      <w:r>
        <w:drawing>
          <wp:inline>
            <wp:extent cx="102235" cy="21970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02235" cy="21970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sz w:val="28"/>
        </w:rPr>
        <w:t xml:space="preserve"> больше объема, указанного выше, т.е.</w:t>
      </w:r>
    </w:p>
    <w:p w14:paraId="08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14 - для газовой плиты с двумя горелками и котла с открытой камерой сгорания; </w:t>
      </w:r>
    </w:p>
    <w:p w14:paraId="09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18 - для газовой плиты с тремя горелками и котла с открытой камерой сгорания; </w:t>
      </w:r>
    </w:p>
    <w:p w14:paraId="0A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21 - для газовой плиты с четырьмя горелками и котла с открытой камерой сгорания. </w:t>
      </w:r>
    </w:p>
    <w:p w14:paraId="0B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установке газового оборудования, предназначенного для отопления и горячего водоснабжения, в отдельном помещении (теплогенераторной) площадь этого помещения (теплогенераторной) должна определяться из условий удобства монтажа и обслуживания оборудования, но быть не менее 15 м</w:t>
      </w:r>
      <w:r>
        <w:drawing>
          <wp:inline>
            <wp:extent cx="102235" cy="219709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102235" cy="21970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sz w:val="28"/>
        </w:rPr>
        <w:t xml:space="preserve"> при высоте не менее 2,5 м (для отопительного котла с открытой камерой сгорания).</w:t>
      </w:r>
    </w:p>
    <w:p w14:paraId="0C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  <w:u w:val="single"/>
        </w:rPr>
        <w:t>Высота помещения.</w:t>
      </w:r>
    </w:p>
    <w:p w14:paraId="0D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Высоту помещения теплогенераторной следует определять условиями обеспечения свободного доступа к выступающим частям эксплуатируемого оборудования. Расстояние по вертикали от верха обслуживаемого оборудования до низа выступающих строительных конструкций (в свету) должно быть не менее 1 м. При этом минимальная высота помещения теплогенераторной от отметки чистого пола до низа выступающих конструкций перекрытия (в свету) должна быть не менее 2,5 м.</w:t>
      </w:r>
    </w:p>
    <w:p w14:paraId="0E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  <w:u w:val="single"/>
        </w:rPr>
        <w:t>Окно</w:t>
      </w:r>
    </w:p>
    <w:p w14:paraId="0F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качестве легкосбрасываемых ограждающих конструкций необходимо использовать остекление оконных проемов с площадью стекла из расчета 0,03 м</w:t>
      </w:r>
      <w:r>
        <w:rPr>
          <w:rFonts w:ascii="PT Astra Serif" w:hAnsi="PT Astra Serif"/>
          <w:sz w:val="28"/>
          <w:vertAlign w:val="superscript"/>
        </w:rPr>
        <w:t>2</w:t>
      </w:r>
      <w:r>
        <w:rPr>
          <w:rFonts w:ascii="PT Astra Serif" w:hAnsi="PT Astra Serif"/>
          <w:sz w:val="28"/>
        </w:rPr>
        <w:t xml:space="preserve"> на 1 м</w:t>
      </w:r>
      <w:r>
        <w:rPr>
          <w:rFonts w:ascii="PT Astra Serif" w:hAnsi="PT Astra Serif"/>
          <w:sz w:val="28"/>
          <w:vertAlign w:val="superscript"/>
        </w:rPr>
        <w:t>3</w:t>
      </w:r>
      <w:r>
        <w:rPr>
          <w:rFonts w:ascii="PT Astra Serif" w:hAnsi="PT Astra Serif"/>
          <w:sz w:val="28"/>
        </w:rPr>
        <w:t xml:space="preserve"> (но не менее 0,8 м</w:t>
      </w:r>
      <w:r>
        <w:drawing>
          <wp:inline>
            <wp:extent cx="102235" cy="219709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102235" cy="21970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sz w:val="28"/>
        </w:rPr>
        <w:t xml:space="preserve"> при толщине стекла 3 мм, 1,0 м</w:t>
      </w:r>
      <w:r>
        <w:drawing>
          <wp:inline>
            <wp:extent cx="102235" cy="219709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102235" cy="21970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sz w:val="28"/>
        </w:rPr>
        <w:t xml:space="preserve"> - при 4 мм и 1,5 м</w:t>
      </w:r>
      <w:r>
        <w:drawing>
          <wp:inline>
            <wp:extent cx="102235" cy="219709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102235" cy="21970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sz w:val="28"/>
        </w:rPr>
        <w:t xml:space="preserve"> - при 5 мм ) объема помещения или использовать оконные конструкции со стеклопакетами по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"kodeks://link/d?nd=1200115391&amp;prevdoc=552150108"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ГОСТ Р 56288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>. Армированное стекло, иные стеклопакеты, триплекс, сталинит и поликарбонат к легкосбрасываемым конструкциям не относятся.</w:t>
      </w:r>
    </w:p>
    <w:p w14:paraId="10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b w:val="1"/>
          <w:sz w:val="28"/>
          <w:u w:val="single"/>
        </w:rPr>
      </w:pPr>
    </w:p>
    <w:p w14:paraId="11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b w:val="1"/>
          <w:sz w:val="28"/>
          <w:u w:val="single"/>
        </w:rPr>
      </w:pPr>
    </w:p>
    <w:p w14:paraId="12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  <w:u w:val="single"/>
        </w:rPr>
        <w:t xml:space="preserve">Вентиляция </w:t>
      </w:r>
    </w:p>
    <w:p w14:paraId="13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Вентиляция помещений, предназначенных для установки газоиспользующего оборудования, должна быть естественной. </w:t>
      </w:r>
    </w:p>
    <w:p w14:paraId="14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Вытяжка предусматривается из расчета трехкратного воздухообмена в час, а приток - в объеме вытяжки и дополнительного количества воздуха на горение газа. </w:t>
      </w:r>
    </w:p>
    <w:p w14:paraId="15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Вентиляция помещения кухни предусматривается приточно-вытяжная с естественным побуждением.</w:t>
      </w:r>
    </w:p>
    <w:p w14:paraId="16000000">
      <w:pPr>
        <w:pStyle w:val="Style_2"/>
        <w:spacing w:after="0" w:before="0"/>
        <w:ind w:firstLine="709" w:left="0" w:right="0"/>
        <w:jc w:val="both"/>
        <w:rPr>
          <w:rFonts w:ascii="PT Astra Serif" w:hAnsi="PT Astra Serif"/>
          <w:b w:val="1"/>
          <w:sz w:val="28"/>
          <w:u w:val="single"/>
        </w:rPr>
      </w:pPr>
    </w:p>
    <w:p w14:paraId="17000000">
      <w:pPr>
        <w:pStyle w:val="Style_2"/>
        <w:spacing w:after="0" w:before="0"/>
        <w:ind w:firstLine="709" w:left="0" w:right="0"/>
        <w:jc w:val="both"/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  <w:u w:val="single"/>
        </w:rPr>
        <w:t>Требования к помещению</w:t>
      </w:r>
    </w:p>
    <w:p w14:paraId="18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 допускается прокладывать газопроводы в подвалах.</w:t>
      </w:r>
    </w:p>
    <w:p w14:paraId="19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Выходы из встроенных и пристроенных теплогенераторных необходимо предусматривать непосредственно наружу или через лестничную клетку основного здания.</w:t>
      </w:r>
    </w:p>
    <w:p w14:paraId="1A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Из встроенных теплогенераторных допускается предусматривать один эвакуационный выход (без устройства второго), в том числе через коридор или лестничную клетку, если расстояние от наиболее удаленного рабочего места до выхода наружу или лестничную клетку не превышает 25 м</w:t>
      </w:r>
    </w:p>
    <w:p w14:paraId="1B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Встроенная теплогенераторная должна быть выделена противопожарными стенами 2-го типа или противопожарными перегородками 1-го типа.</w:t>
      </w:r>
    </w:p>
    <w:p w14:paraId="1C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Внутренние поверхности стен встроенных, пристроенных и крышных теплогенераторных должны быть окрашены влагостойкими красками, допускающими легкую очистку.</w:t>
      </w:r>
    </w:p>
    <w:p w14:paraId="1D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Деревянные неоштукатуренные стены и стены из других горючих материалов в местах установки газовых плит необходимо изолировать негорючими материалами или экранами заводского изготовления из закаленного многослойного стекла по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"kodeks://link/d?nd=1200119828&amp;prevdoc=552150108&amp;point=mark=000000000000000000000000000000000000000000000000007D20K3"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ГОСТ 30698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, не поддерживающими горения и распространения пламени по изолированной поверхности. Изоляция должна выступать за габариты плиты на 10 см с каждой стороны и не менее 80 см сверху. Расстояние между газовой плитой и противоположной стеной принимают не менее 1 м. </w:t>
      </w:r>
    </w:p>
    <w:p w14:paraId="1E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Дверь из помещения, где установлено газоиспользующее оборудование, должна открываться наружу. </w:t>
      </w:r>
    </w:p>
    <w:p w14:paraId="1F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Выход непосредственно наружу - для помещений цокольных и подвальных этажей одноквартирных и блокированных жилых зданий при установке оборудования мощностью св. 150 кВт в соответствии с требованиями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"kodeks://link/d?nd=871001199&amp;prevdoc=1200032042&amp;point=mark=000000000000000000000000000000000000000000000000007D20K3"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МДС 41-2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>.</w:t>
      </w:r>
    </w:p>
    <w:p w14:paraId="20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Расстояние от строительных конструкций помещения до отопительного газоиспользующего оборудования следует принимать в соответствии с требованиями инструкций предприятия-изготовителя. При отсутствии требований в инструкциях газоиспользующее оборудование следует устанавливать исходя из условия удобства монтажа, эксплуатации и ремонта. При этом должны быть выполнены следующие требования: </w:t>
      </w:r>
    </w:p>
    <w:p w14:paraId="21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настенное газоиспользующее оборудование для отопления и горячего водоснабжения должно быть установлено на стенах из несгораемых материалов на расстоянии не менее 2 см от стены, в том числе боковой; </w:t>
      </w:r>
    </w:p>
    <w:p w14:paraId="22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стены из трудносгораемых и сгораемых материалов должны быть изолированы несгораемыми материалами или экранами заводского изготовления из закаленного многослойного стекла по </w:t>
      </w:r>
      <w:r>
        <w:rPr>
          <w:rFonts w:ascii="PT Astra Serif" w:hAnsi="PT Astra Serif"/>
          <w:sz w:val="28"/>
        </w:rPr>
        <w:fldChar w:fldCharType="begin"/>
      </w:r>
      <w:r>
        <w:rPr>
          <w:rFonts w:ascii="PT Astra Serif" w:hAnsi="PT Astra Serif"/>
          <w:sz w:val="28"/>
        </w:rPr>
        <w:instrText>HYPERLINK "kodeks://link/d?nd=1200119828&amp;prevdoc=552150108&amp;point=mark=000000000000000000000000000000000000000000000000007D20K3"</w:instrText>
      </w:r>
      <w:r>
        <w:rPr>
          <w:rFonts w:ascii="PT Astra Serif" w:hAnsi="PT Astra Serif"/>
          <w:sz w:val="28"/>
        </w:rPr>
        <w:fldChar w:fldCharType="separate"/>
      </w:r>
      <w:r>
        <w:rPr>
          <w:rFonts w:ascii="PT Astra Serif" w:hAnsi="PT Astra Serif"/>
          <w:sz w:val="28"/>
        </w:rPr>
        <w:t>ГОСТ 30698</w:t>
      </w:r>
      <w:r>
        <w:rPr>
          <w:rFonts w:ascii="PT Astra Serif" w:hAnsi="PT Astra Serif"/>
          <w:sz w:val="28"/>
        </w:rPr>
        <w:fldChar w:fldCharType="end"/>
      </w:r>
      <w:r>
        <w:rPr>
          <w:rFonts w:ascii="PT Astra Serif" w:hAnsi="PT Astra Serif"/>
          <w:sz w:val="28"/>
        </w:rPr>
        <w:t xml:space="preserve">, не поддерживающими горения и распространения пламени по изолированной поверхности, на расстоянии не менее 3 см от стены, в том числе боковой. Изоляция должна выступать за габариты корпуса оборудования на 10 см и на 70 см сверху; </w:t>
      </w:r>
    </w:p>
    <w:p w14:paraId="23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высота установки настенного оборудования должна быть удобной для эксплуатации и ремонта; </w:t>
      </w:r>
    </w:p>
    <w:p w14:paraId="24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расстояние по горизонтали в свету от выступающих частей отопительного оборудования до бытовой газовой плиты должно быть не менее 10 см; </w:t>
      </w:r>
    </w:p>
    <w:p w14:paraId="25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при установке оборудования на пол с деревянным покрытием последний необходимо изолировать несгораемыми материалами, предел огнестойкости которых не менее 45 мин. Изоляция пола должна выступать за габариты корпуса оборудования не менее чем на 10 см.</w:t>
      </w:r>
    </w:p>
    <w:p w14:paraId="26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  <w:u w:val="single"/>
        </w:rPr>
        <w:t>Автоматика</w:t>
      </w:r>
    </w:p>
    <w:p w14:paraId="27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Автоматизация, контроль и сигнализация теплогенераторной должны обеспечивать ее безопасную работу без постоянного присутствия обслуживающего персонала (установка сигнализатора загазованности). </w:t>
      </w:r>
    </w:p>
    <w:p w14:paraId="28000000">
      <w:pPr>
        <w:pStyle w:val="Style_1"/>
        <w:spacing w:after="0" w:before="0"/>
        <w:ind w:firstLine="709" w:left="0" w:right="0"/>
        <w:jc w:val="both"/>
        <w:rPr>
          <w:rFonts w:ascii="PT Astra Serif" w:hAnsi="PT Astra Serif"/>
          <w:sz w:val="28"/>
        </w:rPr>
      </w:pP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4" w:type="paragraph">
    <w:name w:val="Heading 4"/>
    <w:link w:val="Style_4_ch"/>
    <w:rPr>
      <w:rFonts w:ascii="XO Thames" w:hAnsi="XO Thames"/>
      <w:b w:val="1"/>
      <w:sz w:val="24"/>
    </w:rPr>
  </w:style>
  <w:style w:styleId="Style_4_ch" w:type="character">
    <w:name w:val="Heading 4"/>
    <w:link w:val="Style_4"/>
    <w:rPr>
      <w:rFonts w:ascii="XO Thames" w:hAnsi="XO Thames"/>
      <w:b w:val="1"/>
      <w:sz w:val="24"/>
    </w:rPr>
  </w:style>
  <w:style w:styleId="Style_5" w:type="paragraph">
    <w:name w:val="toc 2"/>
    <w:next w:val="Style_3"/>
    <w:link w:val="Style_5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Heading 5"/>
    <w:link w:val="Style_6_ch"/>
    <w:rPr>
      <w:rFonts w:ascii="XO Thames" w:hAnsi="XO Thames"/>
      <w:b w:val="1"/>
      <w:sz w:val="22"/>
    </w:rPr>
  </w:style>
  <w:style w:styleId="Style_6_ch" w:type="character">
    <w:name w:val="Heading 5"/>
    <w:link w:val="Style_6"/>
    <w:rPr>
      <w:rFonts w:ascii="XO Thames" w:hAnsi="XO Thames"/>
      <w:b w:val="1"/>
      <w:sz w:val="22"/>
    </w:rPr>
  </w:style>
  <w:style w:styleId="Style_7" w:type="paragraph">
    <w:name w:val="Contents 1"/>
    <w:link w:val="Style_7_ch"/>
    <w:rPr>
      <w:rFonts w:ascii="XO Thames" w:hAnsi="XO Thames"/>
      <w:b w:val="1"/>
      <w:sz w:val="28"/>
    </w:rPr>
  </w:style>
  <w:style w:styleId="Style_7_ch" w:type="character">
    <w:name w:val="Contents 1"/>
    <w:link w:val="Style_7"/>
    <w:rPr>
      <w:rFonts w:ascii="XO Thames" w:hAnsi="XO Thames"/>
      <w:b w:val="1"/>
      <w:sz w:val="28"/>
    </w:rPr>
  </w:style>
  <w:style w:styleId="Style_8" w:type="paragraph">
    <w:name w:val="toc 4"/>
    <w:next w:val="Style_3"/>
    <w:link w:val="Style_8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6"/>
    <w:next w:val="Style_3"/>
    <w:link w:val="Style_9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Contents 5"/>
    <w:link w:val="Style_10_ch"/>
    <w:rPr>
      <w:rFonts w:ascii="XO Thames" w:hAnsi="XO Thames"/>
      <w:sz w:val="28"/>
    </w:rPr>
  </w:style>
  <w:style w:styleId="Style_10_ch" w:type="character">
    <w:name w:val="Contents 5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Caption"/>
    <w:basedOn w:val="Style_3"/>
    <w:link w:val="Style_12_ch"/>
    <w:pPr>
      <w:spacing w:after="120" w:before="120"/>
      <w:ind/>
    </w:pPr>
    <w:rPr>
      <w:rFonts w:ascii="PT Astra Serif" w:hAnsi="PT Astra Serif"/>
      <w:i w:val="1"/>
      <w:sz w:val="24"/>
    </w:rPr>
  </w:style>
  <w:style w:styleId="Style_12_ch" w:type="character">
    <w:name w:val="Caption"/>
    <w:basedOn w:val="Style_3_ch"/>
    <w:link w:val="Style_12"/>
    <w:rPr>
      <w:rFonts w:ascii="PT Astra Serif" w:hAnsi="PT Astra Serif"/>
      <w:i w:val="1"/>
      <w:sz w:val="24"/>
    </w:rPr>
  </w:style>
  <w:style w:styleId="Style_13" w:type="paragraph">
    <w:name w:val="Endnote"/>
    <w:link w:val="Style_13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3_ch" w:type="character">
    <w:name w:val="Endnote"/>
    <w:link w:val="Style_13"/>
    <w:rPr>
      <w:rFonts w:ascii="XO Thames" w:hAnsi="XO Thames"/>
      <w:color w:val="000000"/>
      <w:spacing w:val="0"/>
      <w:sz w:val="22"/>
    </w:rPr>
  </w:style>
  <w:style w:styleId="Style_14" w:type="paragraph">
    <w:name w:val="heading 3"/>
    <w:next w:val="Style_3"/>
    <w:link w:val="Style_14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pacing w:val="0"/>
      <w:sz w:val="26"/>
    </w:rPr>
  </w:style>
  <w:style w:styleId="Style_15" w:type="paragraph">
    <w:name w:val="Contents 8"/>
    <w:link w:val="Style_15_ch"/>
    <w:rPr>
      <w:rFonts w:ascii="XO Thames" w:hAnsi="XO Thames"/>
      <w:sz w:val="28"/>
    </w:rPr>
  </w:style>
  <w:style w:styleId="Style_15_ch" w:type="character">
    <w:name w:val="Contents 8"/>
    <w:link w:val="Style_15"/>
    <w:rPr>
      <w:rFonts w:ascii="XO Thames" w:hAnsi="XO Thames"/>
      <w:sz w:val="28"/>
    </w:rPr>
  </w:style>
  <w:style w:styleId="Style_2" w:type="paragraph">
    <w:name w:val="headertext"/>
    <w:basedOn w:val="Style_3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headertext"/>
    <w:basedOn w:val="Style_3_ch"/>
    <w:link w:val="Style_2"/>
    <w:rPr>
      <w:rFonts w:ascii="Times New Roman" w:hAnsi="Times New Roman"/>
      <w:sz w:val="24"/>
    </w:rPr>
  </w:style>
  <w:style w:styleId="Style_16" w:type="paragraph">
    <w:name w:val="Internet link"/>
    <w:basedOn w:val="Style_17"/>
    <w:link w:val="Style_16_ch"/>
    <w:rPr>
      <w:color w:val="0000FF"/>
      <w:u w:val="single"/>
    </w:rPr>
  </w:style>
  <w:style w:styleId="Style_16_ch" w:type="character">
    <w:name w:val="Internet link"/>
    <w:basedOn w:val="Style_17_ch"/>
    <w:link w:val="Style_16"/>
    <w:rPr>
      <w:color w:val="0000FF"/>
      <w:u w:val="single"/>
    </w:rPr>
  </w:style>
  <w:style w:styleId="Style_18" w:type="paragraph">
    <w:name w:val="Contents 9"/>
    <w:link w:val="Style_18_ch"/>
    <w:rPr>
      <w:rFonts w:ascii="XO Thames" w:hAnsi="XO Thames"/>
      <w:sz w:val="28"/>
    </w:rPr>
  </w:style>
  <w:style w:styleId="Style_18_ch" w:type="character">
    <w:name w:val="Contents 9"/>
    <w:link w:val="Style_18"/>
    <w:rPr>
      <w:rFonts w:ascii="XO Thames" w:hAnsi="XO Thames"/>
      <w:sz w:val="28"/>
    </w:rPr>
  </w:style>
  <w:style w:styleId="Style_19" w:type="paragraph">
    <w:name w:val="Contents 3"/>
    <w:link w:val="Style_19_ch"/>
    <w:rPr>
      <w:rFonts w:ascii="XO Thames" w:hAnsi="XO Thames"/>
      <w:sz w:val="28"/>
    </w:rPr>
  </w:style>
  <w:style w:styleId="Style_19_ch" w:type="character">
    <w:name w:val="Contents 3"/>
    <w:link w:val="Style_19"/>
    <w:rPr>
      <w:rFonts w:ascii="XO Thames" w:hAnsi="XO Thames"/>
      <w:sz w:val="28"/>
    </w:rPr>
  </w:style>
  <w:style w:styleId="Style_20" w:type="paragraph">
    <w:name w:val="Title"/>
    <w:next w:val="Style_3"/>
    <w:link w:val="Style_20_ch"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color w:val="000000"/>
      <w:spacing w:val="0"/>
      <w:sz w:val="40"/>
    </w:rPr>
  </w:style>
  <w:style w:styleId="Style_21" w:type="paragraph">
    <w:name w:val="Body Text"/>
    <w:basedOn w:val="Style_3"/>
    <w:link w:val="Style_21_ch"/>
    <w:pPr>
      <w:spacing w:after="140" w:before="0" w:line="276" w:lineRule="auto"/>
      <w:ind/>
    </w:pPr>
  </w:style>
  <w:style w:styleId="Style_21_ch" w:type="character">
    <w:name w:val="Body Text"/>
    <w:basedOn w:val="Style_3_ch"/>
    <w:link w:val="Style_21"/>
  </w:style>
  <w:style w:styleId="Style_22" w:type="paragraph">
    <w:name w:val="Text body indent"/>
    <w:link w:val="Style_22_ch"/>
    <w:rPr>
      <w:rFonts w:ascii="Times New Roman" w:hAnsi="Times New Roman"/>
      <w:sz w:val="20"/>
    </w:rPr>
  </w:style>
  <w:style w:styleId="Style_22_ch" w:type="character">
    <w:name w:val="Text body indent"/>
    <w:link w:val="Style_22"/>
    <w:rPr>
      <w:rFonts w:ascii="Times New Roman" w:hAnsi="Times New Roman"/>
      <w:sz w:val="20"/>
    </w:rPr>
  </w:style>
  <w:style w:styleId="Style_23" w:type="paragraph">
    <w:name w:val="toc 3"/>
    <w:next w:val="Style_3"/>
    <w:link w:val="Style_23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3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Heading 3"/>
    <w:link w:val="Style_24_ch"/>
    <w:rPr>
      <w:rFonts w:ascii="XO Thames" w:hAnsi="XO Thames"/>
      <w:b w:val="1"/>
      <w:sz w:val="26"/>
    </w:rPr>
  </w:style>
  <w:style w:styleId="Style_24_ch" w:type="character">
    <w:name w:val="Heading 3"/>
    <w:link w:val="Style_24"/>
    <w:rPr>
      <w:rFonts w:ascii="XO Thames" w:hAnsi="XO Thames"/>
      <w:b w:val="1"/>
      <w:sz w:val="26"/>
    </w:rPr>
  </w:style>
  <w:style w:styleId="Style_25" w:type="paragraph">
    <w:name w:val="List"/>
    <w:basedOn w:val="Style_21"/>
    <w:link w:val="Style_25_ch"/>
    <w:rPr>
      <w:rFonts w:ascii="PT Astra Serif" w:hAnsi="PT Astra Serif"/>
    </w:rPr>
  </w:style>
  <w:style w:styleId="Style_25_ch" w:type="character">
    <w:name w:val="List"/>
    <w:basedOn w:val="Style_21_ch"/>
    <w:link w:val="Style_25"/>
    <w:rPr>
      <w:rFonts w:ascii="PT Astra Serif" w:hAnsi="PT Astra Serif"/>
    </w:rPr>
  </w:style>
  <w:style w:styleId="Style_26" w:type="paragraph">
    <w:name w:val="heading 5"/>
    <w:next w:val="Style_3"/>
    <w:link w:val="Style_26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6_ch" w:type="character">
    <w:name w:val="heading 5"/>
    <w:link w:val="Style_26"/>
    <w:rPr>
      <w:rFonts w:ascii="XO Thames" w:hAnsi="XO Thames"/>
      <w:b w:val="1"/>
      <w:color w:val="000000"/>
      <w:spacing w:val="0"/>
      <w:sz w:val="22"/>
    </w:rPr>
  </w:style>
  <w:style w:styleId="Style_27" w:type="paragraph">
    <w:name w:val="Body Text Indent"/>
    <w:basedOn w:val="Style_3"/>
    <w:link w:val="Style_27_ch"/>
    <w:pPr>
      <w:spacing w:after="120" w:before="0" w:line="240" w:lineRule="auto"/>
      <w:ind w:firstLine="0" w:left="283" w:right="0"/>
    </w:pPr>
    <w:rPr>
      <w:rFonts w:ascii="Times New Roman" w:hAnsi="Times New Roman"/>
      <w:sz w:val="20"/>
    </w:rPr>
  </w:style>
  <w:style w:styleId="Style_27_ch" w:type="character">
    <w:name w:val="Body Text Indent"/>
    <w:basedOn w:val="Style_3_ch"/>
    <w:link w:val="Style_27"/>
    <w:rPr>
      <w:rFonts w:ascii="Times New Roman" w:hAnsi="Times New Roman"/>
      <w:sz w:val="20"/>
    </w:rPr>
  </w:style>
  <w:style w:styleId="Style_28" w:type="paragraph">
    <w:name w:val="heading 1"/>
    <w:next w:val="Style_3"/>
    <w:link w:val="Style_28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8_ch" w:type="character">
    <w:name w:val="heading 1"/>
    <w:link w:val="Style_28"/>
    <w:rPr>
      <w:rFonts w:ascii="XO Thames" w:hAnsi="XO Thames"/>
      <w:b w:val="1"/>
      <w:color w:val="000000"/>
      <w:spacing w:val="0"/>
      <w:sz w:val="32"/>
    </w:rPr>
  </w:style>
  <w:style w:styleId="Style_29" w:type="paragraph">
    <w:name w:val="Hyperlink"/>
    <w:basedOn w:val="Style_17"/>
    <w:link w:val="Style_29_ch"/>
    <w:rPr>
      <w:color w:val="0000FF"/>
      <w:u w:val="single"/>
    </w:rPr>
  </w:style>
  <w:style w:styleId="Style_29_ch" w:type="character">
    <w:name w:val="Hyperlink"/>
    <w:basedOn w:val="Style_17_ch"/>
    <w:link w:val="Style_29"/>
    <w:rPr>
      <w:color w:val="0000FF"/>
      <w:u w:val="single"/>
    </w:rPr>
  </w:style>
  <w:style w:styleId="Style_30" w:type="paragraph">
    <w:name w:val="Footnote"/>
    <w:link w:val="Style_30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0_ch" w:type="character">
    <w:name w:val="Footnote"/>
    <w:link w:val="Style_30"/>
    <w:rPr>
      <w:rFonts w:ascii="XO Thames" w:hAnsi="XO Thames"/>
      <w:color w:val="000000"/>
      <w:spacing w:val="0"/>
      <w:sz w:val="22"/>
    </w:rPr>
  </w:style>
  <w:style w:styleId="Style_31" w:type="paragraph">
    <w:name w:val="toc 1"/>
    <w:next w:val="Style_3"/>
    <w:link w:val="Style_31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1_ch" w:type="character">
    <w:name w:val="toc 1"/>
    <w:link w:val="Style_31"/>
    <w:rPr>
      <w:rFonts w:ascii="XO Thames" w:hAnsi="XO Thames"/>
      <w:b w:val="1"/>
      <w:color w:val="000000"/>
      <w:spacing w:val="0"/>
      <w:sz w:val="28"/>
    </w:rPr>
  </w:style>
  <w:style w:styleId="Style_32" w:type="paragraph">
    <w:name w:val="Колонтитул"/>
    <w:link w:val="Style_32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32_ch" w:type="character">
    <w:name w:val="Колонтитул"/>
    <w:link w:val="Style_32"/>
    <w:rPr>
      <w:rFonts w:ascii="XO Thames" w:hAnsi="XO Thames"/>
      <w:color w:val="000000"/>
      <w:spacing w:val="0"/>
      <w:sz w:val="28"/>
    </w:rPr>
  </w:style>
  <w:style w:styleId="Style_33" w:type="paragraph">
    <w:name w:val="Header and Footer"/>
    <w:link w:val="Style_33_ch"/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Contents 2"/>
    <w:link w:val="Style_34_ch"/>
    <w:rPr>
      <w:rFonts w:ascii="XO Thames" w:hAnsi="XO Thames"/>
      <w:sz w:val="28"/>
    </w:rPr>
  </w:style>
  <w:style w:styleId="Style_34_ch" w:type="character">
    <w:name w:val="Contents 2"/>
    <w:link w:val="Style_34"/>
    <w:rPr>
      <w:rFonts w:ascii="XO Thames" w:hAnsi="XO Thames"/>
      <w:sz w:val="28"/>
    </w:rPr>
  </w:style>
  <w:style w:styleId="Style_35" w:type="paragraph">
    <w:name w:val="toc 9"/>
    <w:next w:val="Style_3"/>
    <w:link w:val="Style_35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toc 9"/>
    <w:link w:val="Style_35"/>
    <w:rPr>
      <w:rFonts w:ascii="XO Thames" w:hAnsi="XO Thames"/>
      <w:color w:val="000000"/>
      <w:spacing w:val="0"/>
      <w:sz w:val="28"/>
    </w:rPr>
  </w:style>
  <w:style w:styleId="Style_17" w:type="paragraph">
    <w:name w:val="Default Paragraph Font"/>
    <w:link w:val="Style_17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_ch" w:type="character">
    <w:name w:val="Default Paragraph Font"/>
    <w:link w:val="Style_17"/>
    <w:rPr>
      <w:rFonts w:asciiTheme="minorAscii" w:hAnsiTheme="minorHAnsi"/>
      <w:color w:val="000000"/>
      <w:spacing w:val="0"/>
      <w:sz w:val="22"/>
    </w:rPr>
  </w:style>
  <w:style w:styleId="Style_36" w:type="paragraph">
    <w:name w:val="Contents 4"/>
    <w:link w:val="Style_36_ch"/>
    <w:rPr>
      <w:rFonts w:ascii="XO Thames" w:hAnsi="XO Thames"/>
      <w:sz w:val="28"/>
    </w:rPr>
  </w:style>
  <w:style w:styleId="Style_36_ch" w:type="character">
    <w:name w:val="Contents 4"/>
    <w:link w:val="Style_36"/>
    <w:rPr>
      <w:rFonts w:ascii="XO Thames" w:hAnsi="XO Thames"/>
      <w:sz w:val="28"/>
    </w:rPr>
  </w:style>
  <w:style w:styleId="Style_37" w:type="paragraph">
    <w:name w:val="Body Text Indent 3"/>
    <w:basedOn w:val="Style_3"/>
    <w:link w:val="Style_37_ch"/>
    <w:pPr>
      <w:spacing w:after="120" w:before="0" w:line="240" w:lineRule="auto"/>
      <w:ind w:firstLine="0" w:left="283" w:right="0"/>
    </w:pPr>
    <w:rPr>
      <w:rFonts w:ascii="Times New Roman" w:hAnsi="Times New Roman"/>
      <w:sz w:val="16"/>
    </w:rPr>
  </w:style>
  <w:style w:styleId="Style_37_ch" w:type="character">
    <w:name w:val="Body Text Indent 3"/>
    <w:basedOn w:val="Style_3_ch"/>
    <w:link w:val="Style_37"/>
    <w:rPr>
      <w:rFonts w:ascii="Times New Roman" w:hAnsi="Times New Roman"/>
      <w:sz w:val="16"/>
    </w:rPr>
  </w:style>
  <w:style w:styleId="Style_38" w:type="paragraph">
    <w:name w:val="toc 8"/>
    <w:next w:val="Style_3"/>
    <w:link w:val="Style_38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8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Contents 6"/>
    <w:link w:val="Style_39_ch"/>
    <w:rPr>
      <w:rFonts w:ascii="XO Thames" w:hAnsi="XO Thames"/>
      <w:sz w:val="28"/>
    </w:rPr>
  </w:style>
  <w:style w:styleId="Style_39_ch" w:type="character">
    <w:name w:val="Contents 6"/>
    <w:link w:val="Style_39"/>
    <w:rPr>
      <w:rFonts w:ascii="XO Thames" w:hAnsi="XO Thames"/>
      <w:sz w:val="28"/>
    </w:rPr>
  </w:style>
  <w:style w:styleId="Style_40" w:type="paragraph">
    <w:name w:val="Balloon Text"/>
    <w:basedOn w:val="Style_3"/>
    <w:link w:val="Style_40_ch"/>
    <w:pPr>
      <w:spacing w:after="0" w:before="0" w:line="240" w:lineRule="auto"/>
      <w:ind/>
    </w:pPr>
    <w:rPr>
      <w:rFonts w:ascii="Tahoma" w:hAnsi="Tahoma"/>
      <w:sz w:val="16"/>
    </w:rPr>
  </w:style>
  <w:style w:styleId="Style_40_ch" w:type="character">
    <w:name w:val="Balloon Text"/>
    <w:basedOn w:val="Style_3_ch"/>
    <w:link w:val="Style_40"/>
    <w:rPr>
      <w:rFonts w:ascii="Tahoma" w:hAnsi="Tahoma"/>
      <w:sz w:val="16"/>
    </w:rPr>
  </w:style>
  <w:style w:styleId="Style_41" w:type="paragraph">
    <w:name w:val="Heading 2"/>
    <w:link w:val="Style_41_ch"/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42" w:type="paragraph">
    <w:name w:val="toc 5"/>
    <w:next w:val="Style_3"/>
    <w:link w:val="Style_42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5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Heading 1"/>
    <w:link w:val="Style_43_ch"/>
    <w:rPr>
      <w:rFonts w:ascii="XO Thames" w:hAnsi="XO Thames"/>
      <w:b w:val="1"/>
      <w:sz w:val="32"/>
    </w:rPr>
  </w:style>
  <w:style w:styleId="Style_43_ch" w:type="character">
    <w:name w:val="Heading 1"/>
    <w:link w:val="Style_43"/>
    <w:rPr>
      <w:rFonts w:ascii="XO Thames" w:hAnsi="XO Thames"/>
      <w:b w:val="1"/>
      <w:sz w:val="32"/>
    </w:rPr>
  </w:style>
  <w:style w:styleId="Style_44" w:type="paragraph">
    <w:name w:val="Subtitle"/>
    <w:next w:val="Style_3"/>
    <w:link w:val="Style_44_ch"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4_ch" w:type="character">
    <w:name w:val="Subtitle"/>
    <w:link w:val="Style_44"/>
    <w:rPr>
      <w:rFonts w:ascii="XO Thames" w:hAnsi="XO Thames"/>
      <w:i w:val="1"/>
      <w:color w:val="000000"/>
      <w:spacing w:val="0"/>
      <w:sz w:val="24"/>
    </w:rPr>
  </w:style>
  <w:style w:styleId="Style_1" w:type="paragraph">
    <w:name w:val="formattext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formattext"/>
    <w:basedOn w:val="Style_3_ch"/>
    <w:link w:val="Style_1"/>
    <w:rPr>
      <w:rFonts w:ascii="Times New Roman" w:hAnsi="Times New Roman"/>
      <w:sz w:val="24"/>
    </w:rPr>
  </w:style>
  <w:style w:styleId="Style_45" w:type="paragraph">
    <w:name w:val="Subtitle"/>
    <w:link w:val="Style_45_ch"/>
    <w:uiPriority w:val="11"/>
    <w:qFormat/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Заголовок"/>
    <w:basedOn w:val="Style_3"/>
    <w:next w:val="Style_21"/>
    <w:link w:val="Style_46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6_ch" w:type="character">
    <w:name w:val="Заголовок"/>
    <w:basedOn w:val="Style_3_ch"/>
    <w:link w:val="Style_46"/>
    <w:rPr>
      <w:rFonts w:ascii="PT Astra Serif" w:hAnsi="PT Astra Serif"/>
      <w:sz w:val="28"/>
    </w:rPr>
  </w:style>
  <w:style w:styleId="Style_47" w:type="paragraph">
    <w:name w:val="Contents 7"/>
    <w:link w:val="Style_47_ch"/>
    <w:rPr>
      <w:rFonts w:ascii="XO Thames" w:hAnsi="XO Thames"/>
      <w:sz w:val="28"/>
    </w:rPr>
  </w:style>
  <w:style w:styleId="Style_47_ch" w:type="character">
    <w:name w:val="Contents 7"/>
    <w:link w:val="Style_47"/>
    <w:rPr>
      <w:rFonts w:ascii="XO Thames" w:hAnsi="XO Thames"/>
      <w:sz w:val="28"/>
    </w:rPr>
  </w:style>
  <w:style w:styleId="Style_48" w:type="paragraph">
    <w:name w:val="Title"/>
    <w:link w:val="Style_48_ch"/>
    <w:uiPriority w:val="10"/>
    <w:qFormat/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next w:val="Style_3"/>
    <w:link w:val="Style_49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9_ch" w:type="character">
    <w:name w:val="heading 4"/>
    <w:link w:val="Style_49"/>
    <w:rPr>
      <w:rFonts w:ascii="XO Thames" w:hAnsi="XO Thames"/>
      <w:b w:val="1"/>
      <w:color w:val="000000"/>
      <w:spacing w:val="0"/>
      <w:sz w:val="24"/>
    </w:rPr>
  </w:style>
  <w:style w:styleId="Style_50" w:type="paragraph">
    <w:name w:val="heading 2"/>
    <w:next w:val="Style_3"/>
    <w:link w:val="Style_50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0_ch" w:type="character">
    <w:name w:val="heading 2"/>
    <w:link w:val="Style_50"/>
    <w:rPr>
      <w:rFonts w:ascii="XO Thames" w:hAnsi="XO Thames"/>
      <w:b w:val="1"/>
      <w:color w:val="000000"/>
      <w:spacing w:val="0"/>
      <w:sz w:val="28"/>
    </w:rPr>
  </w:style>
  <w:style w:styleId="Style_51" w:type="paragraph">
    <w:name w:val="match"/>
    <w:basedOn w:val="Style_17"/>
    <w:link w:val="Style_51_ch"/>
  </w:style>
  <w:style w:styleId="Style_51_ch" w:type="character">
    <w:name w:val="match"/>
    <w:basedOn w:val="Style_17_ch"/>
    <w:link w:val="Style_51"/>
  </w:style>
  <w:style w:styleId="Style_52" w:type="paragraph">
    <w:name w:val="Указатель"/>
    <w:basedOn w:val="Style_3"/>
    <w:link w:val="Style_52_ch"/>
    <w:rPr>
      <w:rFonts w:ascii="PT Astra Serif" w:hAnsi="PT Astra Serif"/>
    </w:rPr>
  </w:style>
  <w:style w:styleId="Style_52_ch" w:type="character">
    <w:name w:val="Указатель"/>
    <w:basedOn w:val="Style_3_ch"/>
    <w:link w:val="Style_52"/>
    <w:rPr>
      <w:rFonts w:ascii="PT Astra Serif" w:hAnsi="PT Astra Serif"/>
    </w:rPr>
  </w:style>
  <w:style w:default="1" w:styleId="Style_5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media/1.png" Type="http://schemas.openxmlformats.org/officeDocument/2006/relationships/image"/>
  <Relationship Id="rId10" Target="webSettings.xml" Type="http://schemas.openxmlformats.org/officeDocument/2006/relationships/webSettings"/>
  <Relationship Id="rId2" Target="media/2.png" Type="http://schemas.openxmlformats.org/officeDocument/2006/relationships/image"/>
  <Relationship Id="rId3" Target="media/3.png" Type="http://schemas.openxmlformats.org/officeDocument/2006/relationships/image"/>
  <Relationship Id="rId8" Target="styles.xml" Type="http://schemas.openxmlformats.org/officeDocument/2006/relationships/styles"/>
  <Relationship Id="rId4" Target="media/4.png" Type="http://schemas.openxmlformats.org/officeDocument/2006/relationships/image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5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2025-01-17T06:05:16Z</dcterms:modified>
</cp:coreProperties>
</file>